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内控询价论证</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firstLine="720" w:firstLineChars="200"/>
        <w:rPr>
          <w:rFonts w:hint="default" w:ascii="黑体" w:hAnsi="宋体" w:eastAsia="黑体"/>
          <w:sz w:val="36"/>
          <w:szCs w:val="36"/>
          <w:lang w:val="en-US" w:eastAsia="zh-CN"/>
        </w:rPr>
      </w:pPr>
      <w:r>
        <w:rPr>
          <w:rFonts w:hint="eastAsia" w:ascii="黑体" w:hAnsi="宋体" w:eastAsia="黑体"/>
          <w:sz w:val="36"/>
          <w:szCs w:val="36"/>
        </w:rPr>
        <w:t>项目编号：JN</w:t>
      </w:r>
      <w:r>
        <w:rPr>
          <w:rFonts w:ascii="黑体" w:hAnsi="宋体" w:eastAsia="黑体"/>
          <w:sz w:val="36"/>
          <w:szCs w:val="36"/>
        </w:rPr>
        <w:t>YY-2023</w:t>
      </w:r>
      <w:r>
        <w:rPr>
          <w:rFonts w:hint="eastAsia" w:ascii="黑体" w:hAnsi="宋体" w:eastAsia="黑体"/>
          <w:sz w:val="36"/>
          <w:szCs w:val="36"/>
          <w:lang w:val="en-US" w:eastAsia="zh-CN"/>
        </w:rPr>
        <w:t>1027003</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项目名称：南京市江宁医院全院心电网络系统升级项目</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采 购 人：南京市江宁医院</w:t>
      </w:r>
    </w:p>
    <w:p>
      <w:pPr>
        <w:spacing w:line="480" w:lineRule="auto"/>
        <w:ind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采购类别：软件类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rPr>
        <w:t>三</w:t>
      </w:r>
      <w:r>
        <w:rPr>
          <w:rFonts w:hint="eastAsia" w:ascii="黑体" w:hAnsi="黑体" w:eastAsia="黑体" w:cs="黑体"/>
          <w:sz w:val="44"/>
          <w:szCs w:val="40"/>
        </w:rPr>
        <w:t>年</w:t>
      </w:r>
      <w:r>
        <w:rPr>
          <w:rFonts w:hint="eastAsia" w:ascii="黑体" w:hAnsi="黑体" w:eastAsia="黑体" w:cs="黑体"/>
          <w:sz w:val="44"/>
          <w:szCs w:val="40"/>
          <w:lang w:val="en-US" w:eastAsia="zh-CN"/>
        </w:rPr>
        <w:t>十</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color w:val="000000"/>
          <w:sz w:val="32"/>
          <w:szCs w:val="36"/>
        </w:rPr>
        <w:t>第一章  内控</w:t>
      </w:r>
      <w:r>
        <w:rPr>
          <w:rFonts w:hint="eastAsia" w:hAnsi="黑体" w:cs="黑体"/>
          <w:b w:val="0"/>
          <w:bCs/>
          <w:color w:val="000000"/>
          <w:sz w:val="32"/>
          <w:szCs w:val="36"/>
        </w:rPr>
        <w:t>询价论证</w:t>
      </w:r>
      <w:r>
        <w:rPr>
          <w:rFonts w:hint="eastAsia" w:hAnsi="黑体" w:cs="黑体"/>
          <w:bCs/>
          <w:color w:val="000000"/>
          <w:sz w:val="32"/>
          <w:szCs w:val="36"/>
        </w:rPr>
        <w:t>邀请</w:t>
      </w:r>
    </w:p>
    <w:p>
      <w:pPr>
        <w:spacing w:line="360" w:lineRule="auto"/>
        <w:ind w:firstLine="482" w:firstLineChars="200"/>
        <w:rPr>
          <w:rFonts w:ascii="宋体" w:hAnsi="宋体" w:eastAsia="宋体"/>
          <w:b/>
          <w:sz w:val="24"/>
          <w:szCs w:val="24"/>
          <w:u w:val="single"/>
          <w:lang w:val="en-US"/>
        </w:rPr>
      </w:pPr>
      <w:r>
        <w:rPr>
          <w:rFonts w:hint="eastAsia" w:ascii="宋体" w:hAnsi="宋体" w:eastAsia="宋体"/>
          <w:b/>
          <w:sz w:val="24"/>
          <w:szCs w:val="24"/>
          <w:u w:val="single"/>
          <w:lang w:val="en-US"/>
        </w:rPr>
        <w:t>南京市江宁医院</w:t>
      </w:r>
      <w:r>
        <w:rPr>
          <w:rFonts w:hint="eastAsia" w:ascii="宋体" w:hAnsi="宋体" w:eastAsia="宋体"/>
          <w:bCs/>
          <w:sz w:val="24"/>
          <w:szCs w:val="24"/>
          <w:lang w:val="en-US"/>
        </w:rPr>
        <w:t>（采购单位名称，以下简称“采购人”），就</w:t>
      </w:r>
      <w:r>
        <w:rPr>
          <w:rFonts w:hint="eastAsia" w:ascii="宋体" w:hAnsi="宋体" w:eastAsia="宋体"/>
          <w:b/>
          <w:sz w:val="24"/>
          <w:szCs w:val="24"/>
          <w:u w:val="single"/>
          <w:lang w:val="en-US"/>
        </w:rPr>
        <w:t xml:space="preserve"> 南京市江宁医院全院心电网络系统升级项目</w:t>
      </w:r>
      <w:r>
        <w:rPr>
          <w:rFonts w:hint="eastAsia" w:ascii="宋体" w:hAnsi="宋体" w:eastAsia="宋体"/>
          <w:bCs/>
          <w:sz w:val="24"/>
          <w:szCs w:val="24"/>
          <w:lang w:val="en-US"/>
        </w:rPr>
        <w:t>（采购项目名称）进行</w:t>
      </w:r>
      <w:r>
        <w:rPr>
          <w:rFonts w:hint="eastAsia" w:ascii="宋体" w:hAnsi="宋体" w:eastAsia="宋体"/>
          <w:b/>
          <w:sz w:val="24"/>
          <w:szCs w:val="24"/>
          <w:lang w:val="en-US"/>
        </w:rPr>
        <w:t>内控</w:t>
      </w:r>
      <w:r>
        <w:rPr>
          <w:rFonts w:hint="eastAsia" w:ascii="宋体" w:hAnsi="宋体" w:eastAsia="宋体"/>
          <w:sz w:val="24"/>
          <w:szCs w:val="24"/>
          <w:lang w:val="en-US"/>
        </w:rPr>
        <w:t>询价</w:t>
      </w:r>
      <w:r>
        <w:rPr>
          <w:rFonts w:hint="eastAsia" w:ascii="宋体" w:hAnsi="宋体" w:eastAsia="宋体"/>
          <w:b/>
          <w:sz w:val="24"/>
          <w:szCs w:val="24"/>
          <w:lang w:val="en-US"/>
        </w:rPr>
        <w:t>论证</w:t>
      </w:r>
      <w:r>
        <w:rPr>
          <w:rFonts w:hint="eastAsia" w:ascii="宋体" w:hAnsi="宋体" w:eastAsia="宋体"/>
          <w:sz w:val="24"/>
          <w:szCs w:val="24"/>
        </w:rPr>
        <w:t>，兹邀请符合资格条件的供应商参与内控询价论证。</w:t>
      </w:r>
    </w:p>
    <w:p>
      <w:pPr>
        <w:tabs>
          <w:tab w:val="left" w:pos="7005"/>
        </w:tabs>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rPr>
        <w:t>1、项目编号：JNYY-2023</w:t>
      </w:r>
      <w:r>
        <w:rPr>
          <w:rFonts w:hint="eastAsia" w:ascii="宋体" w:hAnsi="宋体" w:eastAsia="宋体"/>
          <w:b/>
          <w:bCs/>
          <w:sz w:val="24"/>
          <w:szCs w:val="24"/>
          <w:lang w:val="en-US" w:eastAsia="zh-CN"/>
        </w:rPr>
        <w:t>1027003</w:t>
      </w:r>
    </w:p>
    <w:p>
      <w:pPr>
        <w:widowControl/>
        <w:tabs>
          <w:tab w:val="left" w:pos="7005"/>
        </w:tabs>
        <w:spacing w:line="360" w:lineRule="auto"/>
        <w:rPr>
          <w:rFonts w:ascii="宋体" w:hAnsi="宋体" w:eastAsia="宋体"/>
          <w:b/>
          <w:bCs/>
          <w:sz w:val="24"/>
          <w:szCs w:val="24"/>
        </w:rPr>
      </w:pPr>
      <w:r>
        <w:rPr>
          <w:rFonts w:hint="eastAsia" w:ascii="宋体" w:hAnsi="宋体" w:eastAsia="宋体"/>
          <w:b/>
          <w:bCs/>
          <w:sz w:val="24"/>
          <w:szCs w:val="24"/>
        </w:rPr>
        <w:t>2、项目内容：</w:t>
      </w:r>
      <w:r>
        <w:rPr>
          <w:rFonts w:hint="eastAsia" w:ascii="宋体" w:hAnsi="宋体" w:eastAsia="宋体"/>
          <w:b/>
          <w:sz w:val="24"/>
          <w:szCs w:val="24"/>
          <w:u w:val="single"/>
          <w:lang w:val="en-US"/>
        </w:rPr>
        <w:t>南京市江宁医院全院心电网络系统升级项目</w:t>
      </w:r>
    </w:p>
    <w:p>
      <w:pPr>
        <w:spacing w:line="360" w:lineRule="auto"/>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不涉及</w:t>
      </w:r>
      <w:r>
        <w:rPr>
          <w:rFonts w:hint="eastAsia" w:ascii="宋体" w:hAnsi="宋体" w:eastAsia="宋体"/>
          <w:bCs/>
          <w:sz w:val="24"/>
          <w:szCs w:val="24"/>
          <w:lang w:val="en-US"/>
        </w:rPr>
        <w:t>，供应商根据项目需求提供</w:t>
      </w:r>
      <w:r>
        <w:rPr>
          <w:rFonts w:hint="eastAsia" w:ascii="宋体" w:hAnsi="宋体" w:eastAsia="宋体" w:cs="微软雅黑"/>
          <w:sz w:val="24"/>
        </w:rPr>
        <w:t>报价及解決方案。</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w:t>
      </w:r>
      <w:r>
        <w:rPr>
          <w:rFonts w:hint="eastAsia" w:ascii="宋体" w:hAnsi="宋体" w:eastAsia="宋体"/>
          <w:b/>
          <w:bCs/>
          <w:sz w:val="24"/>
          <w:szCs w:val="24"/>
          <w:lang w:val="en-US"/>
        </w:rPr>
        <w:t>供应商应具备的基本</w:t>
      </w:r>
      <w:r>
        <w:rPr>
          <w:rFonts w:hint="eastAsia" w:ascii="宋体" w:hAnsi="宋体" w:eastAsia="宋体"/>
          <w:b/>
          <w:bCs/>
          <w:sz w:val="24"/>
          <w:szCs w:val="24"/>
        </w:rPr>
        <w:t>条件:</w:t>
      </w:r>
    </w:p>
    <w:p>
      <w:pPr>
        <w:spacing w:line="360" w:lineRule="auto"/>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w:t>
      </w:r>
      <w:r>
        <w:rPr>
          <w:rFonts w:hint="eastAsia" w:ascii="宋体" w:hAnsi="宋体" w:eastAsia="宋体"/>
          <w:color w:val="000000"/>
          <w:sz w:val="24"/>
          <w:szCs w:val="24"/>
          <w:lang w:val="en-US"/>
        </w:rPr>
        <w:t>等</w:t>
      </w:r>
      <w:r>
        <w:rPr>
          <w:rFonts w:hint="eastAsia" w:ascii="宋体" w:hAnsi="宋体" w:eastAsia="宋体"/>
          <w:color w:val="000000"/>
          <w:sz w:val="24"/>
          <w:szCs w:val="24"/>
        </w:rPr>
        <w:t>（</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有依法缴纳税收和社会保障资金的良好记录（提供参加本次询价论证活动前一年内至少一个月缴纳增值税，或营业税，或企业所得税的凭据，以及缴纳社会保险的凭据（专用收据，或社会保险缴纳清单）等）；</w:t>
      </w:r>
    </w:p>
    <w:p>
      <w:pPr>
        <w:spacing w:line="360" w:lineRule="auto"/>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参加询价论证活动前三年内，在经营活动中没有重大违法记录；</w:t>
      </w:r>
    </w:p>
    <w:p>
      <w:pPr>
        <w:pStyle w:val="2"/>
        <w:spacing w:line="360" w:lineRule="auto"/>
        <w:ind w:left="0"/>
        <w:rPr>
          <w:rFonts w:eastAsiaTheme="minorEastAsia"/>
        </w:rPr>
      </w:pPr>
      <w:r>
        <w:rPr>
          <w:rFonts w:ascii="宋体" w:hAnsi="宋体" w:eastAsia="宋体"/>
          <w:color w:val="000000"/>
          <w:sz w:val="24"/>
          <w:szCs w:val="24"/>
        </w:rPr>
        <w:t>4.1.6</w:t>
      </w:r>
      <w:r>
        <w:rPr>
          <w:rFonts w:ascii="宋体" w:hAnsi="宋体" w:eastAsia="宋体"/>
          <w:b/>
          <w:color w:val="000000"/>
          <w:sz w:val="24"/>
          <w:szCs w:val="24"/>
        </w:rPr>
        <w:t>江苏省苏采云所入围品牌对应供货商</w:t>
      </w:r>
      <w:r>
        <w:rPr>
          <w:rFonts w:hint="eastAsia" w:ascii="宋体" w:hAnsi="宋体" w:eastAsia="宋体"/>
          <w:b/>
          <w:bCs/>
          <w:color w:val="000000"/>
          <w:sz w:val="24"/>
          <w:szCs w:val="24"/>
        </w:rPr>
        <w:t>（江苏省、南京市能提供本地化服务）</w:t>
      </w:r>
      <w:r>
        <w:rPr>
          <w:rFonts w:hint="eastAsia" w:ascii="宋体" w:hAnsi="宋体" w:eastAsia="宋体"/>
          <w:b/>
          <w:color w:val="000000"/>
          <w:sz w:val="24"/>
          <w:szCs w:val="24"/>
        </w:rPr>
        <w:t>；</w:t>
      </w:r>
    </w:p>
    <w:p>
      <w:pPr>
        <w:spacing w:line="360" w:lineRule="auto"/>
        <w:rPr>
          <w:rFonts w:ascii="宋体" w:hAnsi="宋体" w:eastAsia="宋体"/>
          <w:b/>
          <w:bCs/>
          <w:sz w:val="24"/>
          <w:szCs w:val="24"/>
        </w:rPr>
      </w:pPr>
      <w:r>
        <w:rPr>
          <w:rFonts w:ascii="宋体" w:hAnsi="宋体" w:eastAsia="宋体"/>
          <w:color w:val="000000"/>
          <w:sz w:val="24"/>
          <w:szCs w:val="24"/>
        </w:rPr>
        <w:t xml:space="preserve">4.1.7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spacing w:line="360" w:lineRule="auto"/>
        <w:rPr>
          <w:rFonts w:ascii="宋体" w:hAnsi="宋体" w:eastAsia="宋体"/>
          <w:b/>
          <w:bCs/>
          <w:sz w:val="24"/>
          <w:szCs w:val="24"/>
        </w:rPr>
      </w:pPr>
      <w:r>
        <w:rPr>
          <w:rFonts w:ascii="宋体" w:hAnsi="宋体" w:eastAsia="宋体"/>
          <w:b/>
          <w:bCs/>
          <w:sz w:val="24"/>
          <w:szCs w:val="24"/>
        </w:rPr>
        <w:t>4.2</w:t>
      </w:r>
      <w:r>
        <w:rPr>
          <w:rFonts w:hint="eastAsia" w:ascii="宋体" w:hAnsi="宋体" w:eastAsia="宋体"/>
          <w:b/>
          <w:bCs/>
          <w:sz w:val="24"/>
          <w:szCs w:val="24"/>
        </w:rPr>
        <w:t>采购人根据采购项目的特殊要求规定的特定条件：不涉及</w:t>
      </w:r>
    </w:p>
    <w:p>
      <w:pPr>
        <w:tabs>
          <w:tab w:val="left" w:pos="321"/>
        </w:tabs>
        <w:spacing w:line="360" w:lineRule="auto"/>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w:t>
      </w:r>
      <w:r>
        <w:rPr>
          <w:rFonts w:hint="eastAsia" w:ascii="宋体" w:hAnsi="宋体" w:eastAsia="宋体"/>
          <w:sz w:val="24"/>
          <w:szCs w:val="24"/>
        </w:rPr>
        <w:t>询价论证</w:t>
      </w:r>
      <w:r>
        <w:rPr>
          <w:rFonts w:hint="eastAsia" w:ascii="宋体" w:hAnsi="宋体" w:eastAsia="宋体"/>
          <w:b/>
          <w:sz w:val="24"/>
          <w:szCs w:val="24"/>
        </w:rPr>
        <w:t>活动：</w:t>
      </w:r>
    </w:p>
    <w:p>
      <w:pPr>
        <w:spacing w:line="360" w:lineRule="auto"/>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参加询价论证活动前三年内，在经营活动中有重大违法记录的；</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4.3.2 </w:t>
      </w:r>
      <w:r>
        <w:rPr>
          <w:rFonts w:hint="eastAsia" w:ascii="宋体" w:hAnsi="宋体" w:eastAsia="宋体"/>
          <w:bCs/>
          <w:color w:val="000000"/>
          <w:sz w:val="24"/>
          <w:szCs w:val="24"/>
        </w:rPr>
        <w:t>被信用中国网站、中国政府采购网站列入失信被执行人名单、</w:t>
      </w:r>
      <w:r>
        <w:rPr>
          <w:rFonts w:ascii="宋体" w:hAnsi="宋体" w:eastAsia="宋体"/>
          <w:bCs/>
          <w:color w:val="000000"/>
          <w:sz w:val="24"/>
          <w:szCs w:val="24"/>
        </w:rPr>
        <w:t>重大税收违法失信主体</w:t>
      </w:r>
      <w:r>
        <w:rPr>
          <w:rFonts w:hint="eastAsia" w:ascii="宋体" w:hAnsi="宋体" w:eastAsia="宋体"/>
          <w:bCs/>
          <w:color w:val="000000"/>
          <w:sz w:val="24"/>
          <w:szCs w:val="24"/>
        </w:rPr>
        <w:t>、政府采购严重违法失信行为记录名单的；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在全国范围内受过财政部门禁止参加政府询价论证活动的处罚期限未满的；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参加本次询价论证活动不同供应商的授权代理人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在询价论证文件发布日上月至投标截止日当月在同一单位缴纳社会保险的；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参加本次询价论证活动不同供应商的法定代表人或委托代理人有夫妻、直系血亲关系的；</w:t>
      </w:r>
      <w:r>
        <w:rPr>
          <w:rFonts w:ascii="宋体" w:hAnsi="宋体" w:eastAsia="宋体"/>
          <w:bCs/>
          <w:color w:val="000000"/>
          <w:sz w:val="24"/>
          <w:szCs w:val="24"/>
        </w:rPr>
        <w:t xml:space="preserve"> </w:t>
      </w:r>
    </w:p>
    <w:p>
      <w:pPr>
        <w:spacing w:line="360" w:lineRule="auto"/>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参加本次询价论证活动不同供应商的负责人为同一人，或不同供应商之间存在直接控股、管理关系的。</w:t>
      </w:r>
      <w:r>
        <w:rPr>
          <w:rFonts w:hint="eastAsia" w:ascii="宋体" w:hAnsi="宋体" w:eastAsia="宋体"/>
          <w:sz w:val="24"/>
          <w:szCs w:val="24"/>
        </w:rPr>
        <w:t xml:space="preserve">  </w:t>
      </w:r>
    </w:p>
    <w:p>
      <w:pPr>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sz w:val="24"/>
          <w:szCs w:val="24"/>
          <w:lang w:val="en-US"/>
        </w:rPr>
        <w:t>内控</w:t>
      </w:r>
      <w:r>
        <w:rPr>
          <w:rFonts w:hint="eastAsia" w:ascii="宋体" w:hAnsi="宋体" w:eastAsia="宋体"/>
          <w:bCs/>
          <w:sz w:val="24"/>
          <w:szCs w:val="24"/>
          <w:lang w:val="en-US"/>
        </w:rPr>
        <w:t>询价论证</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提交响应文件截止时间前，从南京市江宁医院(https://www.njjnyy.cn/)免费下载；</w:t>
      </w:r>
    </w:p>
    <w:p>
      <w:pPr>
        <w:tabs>
          <w:tab w:val="left" w:pos="241"/>
        </w:tabs>
        <w:spacing w:line="360" w:lineRule="auto"/>
        <w:rPr>
          <w:rFonts w:ascii="宋体" w:hAnsi="宋体" w:eastAsia="宋体"/>
          <w:b/>
          <w:bCs/>
          <w:sz w:val="24"/>
          <w:szCs w:val="24"/>
          <w:lang w:val="en-US"/>
        </w:rPr>
      </w:pPr>
      <w:r>
        <w:rPr>
          <w:rFonts w:hint="eastAsia" w:ascii="宋体" w:hAnsi="宋体" w:eastAsia="宋体"/>
          <w:b/>
          <w:sz w:val="24"/>
          <w:szCs w:val="24"/>
          <w:lang w:val="en-US"/>
        </w:rPr>
        <w:t>6</w:t>
      </w:r>
      <w:r>
        <w:rPr>
          <w:rFonts w:hint="eastAsia" w:ascii="宋体" w:hAnsi="宋体" w:eastAsia="宋体"/>
          <w:b/>
          <w:sz w:val="24"/>
          <w:szCs w:val="24"/>
        </w:rPr>
        <w:t>、</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sz w:val="24"/>
          <w:szCs w:val="24"/>
          <w:lang w:val="en-US"/>
        </w:rPr>
        <w:t>8、</w:t>
      </w:r>
      <w:r>
        <w:rPr>
          <w:rFonts w:hint="eastAsia" w:ascii="宋体" w:hAnsi="宋体" w:eastAsia="宋体"/>
          <w:b/>
          <w:bCs/>
          <w:sz w:val="24"/>
          <w:szCs w:val="24"/>
          <w:lang w:val="en-US"/>
        </w:rPr>
        <w:t>响应要求要求及</w:t>
      </w:r>
      <w:r>
        <w:rPr>
          <w:rFonts w:hint="eastAsia" w:ascii="宋体" w:hAnsi="宋体" w:eastAsia="宋体"/>
          <w:b/>
          <w:bCs/>
          <w:sz w:val="24"/>
          <w:szCs w:val="24"/>
          <w:lang w:val="en-US" w:eastAsia="zh-Hans"/>
        </w:rPr>
        <w:t>截止</w:t>
      </w:r>
      <w:r>
        <w:rPr>
          <w:rFonts w:hint="eastAsia" w:ascii="宋体" w:hAnsi="宋体" w:eastAsia="宋体"/>
          <w:b/>
          <w:bCs/>
          <w:sz w:val="24"/>
          <w:szCs w:val="24"/>
          <w:lang w:val="en-US"/>
        </w:rPr>
        <w:t>时间</w:t>
      </w:r>
      <w:r>
        <w:rPr>
          <w:rFonts w:hint="eastAsia" w:ascii="宋体" w:hAnsi="宋体" w:eastAsia="宋体"/>
          <w:b/>
          <w:bCs/>
          <w:color w:val="000000"/>
          <w:sz w:val="24"/>
          <w:szCs w:val="24"/>
        </w:rPr>
        <w:t>：</w:t>
      </w:r>
    </w:p>
    <w:p>
      <w:pPr>
        <w:autoSpaceDE w:val="0"/>
        <w:autoSpaceDN w:val="0"/>
        <w:spacing w:line="360" w:lineRule="auto"/>
        <w:rPr>
          <w:rFonts w:ascii="宋体" w:hAnsi="宋体" w:eastAsia="宋体"/>
          <w:sz w:val="24"/>
          <w:szCs w:val="24"/>
          <w:lang w:val="en-US"/>
        </w:rPr>
      </w:pPr>
      <w:r>
        <w:rPr>
          <w:rFonts w:hint="eastAsia" w:ascii="宋体" w:hAnsi="宋体" w:eastAsia="宋体"/>
          <w:b/>
          <w:bCs/>
          <w:spacing w:val="-6"/>
          <w:sz w:val="24"/>
          <w:szCs w:val="24"/>
          <w:lang w:val="en-US"/>
        </w:rPr>
        <w:t>8.1</w:t>
      </w:r>
      <w:r>
        <w:rPr>
          <w:rFonts w:hint="eastAsia" w:ascii="宋体" w:hAnsi="宋体" w:eastAsia="宋体"/>
          <w:b/>
          <w:sz w:val="24"/>
          <w:szCs w:val="24"/>
          <w:lang w:val="en-US"/>
        </w:rPr>
        <w:t>提交方式：</w:t>
      </w:r>
      <w:r>
        <w:rPr>
          <w:rFonts w:hint="eastAsia" w:ascii="宋体" w:hAnsi="宋体" w:eastAsia="宋体"/>
          <w:sz w:val="24"/>
          <w:szCs w:val="24"/>
          <w:shd w:val="clear" w:color="auto" w:fill="FFFFFF"/>
        </w:rPr>
        <w:t>供应商参与询价论证</w:t>
      </w:r>
      <w:r>
        <w:rPr>
          <w:rFonts w:hint="eastAsia" w:ascii="宋体" w:hAnsi="宋体" w:eastAsia="宋体"/>
          <w:b/>
          <w:bCs/>
          <w:sz w:val="24"/>
          <w:szCs w:val="24"/>
          <w:u w:val="single"/>
          <w:shd w:val="clear" w:color="auto" w:fill="FFFFFF"/>
        </w:rPr>
        <w:t>需提交响应文件叁份,其中正本壹本,副本贰本,电子响应文件壹份(</w:t>
      </w:r>
      <w:r>
        <w:rPr>
          <w:rFonts w:ascii="宋体" w:hAnsi="宋体" w:eastAsia="宋体"/>
          <w:b/>
          <w:bCs/>
          <w:sz w:val="24"/>
          <w:szCs w:val="24"/>
          <w:u w:val="single"/>
          <w:shd w:val="clear" w:color="auto" w:fill="FFFFFF"/>
        </w:rPr>
        <w:t>U</w:t>
      </w:r>
      <w:r>
        <w:rPr>
          <w:rFonts w:hint="eastAsia" w:ascii="宋体" w:hAnsi="宋体" w:eastAsia="宋体"/>
          <w:b/>
          <w:bCs/>
          <w:sz w:val="24"/>
          <w:szCs w:val="24"/>
          <w:u w:val="single"/>
          <w:shd w:val="clear" w:color="auto" w:fill="FFFFFF"/>
        </w:rPr>
        <w:t>盘),提交地址: 湖山路169号江宁医院3号楼7楼规划室.熊老师: 025-52087293.</w:t>
      </w:r>
    </w:p>
    <w:p>
      <w:pPr>
        <w:spacing w:line="360" w:lineRule="auto"/>
        <w:rPr>
          <w:rFonts w:ascii="宋体" w:hAnsi="宋体" w:eastAsia="宋体"/>
          <w:b/>
          <w:sz w:val="24"/>
          <w:szCs w:val="24"/>
          <w:u w:val="single"/>
        </w:rPr>
      </w:pPr>
      <w:r>
        <w:rPr>
          <w:rFonts w:hint="eastAsia" w:ascii="宋体" w:hAnsi="宋体" w:eastAsia="宋体"/>
          <w:b/>
          <w:sz w:val="24"/>
          <w:szCs w:val="24"/>
          <w:lang w:val="en-US"/>
        </w:rPr>
        <w:t>8.2</w:t>
      </w:r>
      <w:r>
        <w:rPr>
          <w:rFonts w:hint="eastAsia" w:ascii="宋体" w:hAnsi="宋体" w:eastAsia="宋体"/>
          <w:b/>
          <w:sz w:val="24"/>
          <w:szCs w:val="24"/>
        </w:rPr>
        <w:t xml:space="preserve"> 提交</w:t>
      </w:r>
      <w:r>
        <w:rPr>
          <w:rFonts w:hint="eastAsia" w:ascii="宋体" w:hAnsi="宋体" w:eastAsia="宋体"/>
          <w:sz w:val="24"/>
          <w:szCs w:val="24"/>
        </w:rPr>
        <w:t>询价论证</w:t>
      </w:r>
      <w:r>
        <w:rPr>
          <w:rFonts w:hint="eastAsia" w:ascii="宋体" w:hAnsi="宋体" w:eastAsia="宋体"/>
          <w:b/>
          <w:sz w:val="24"/>
          <w:szCs w:val="24"/>
        </w:rPr>
        <w:t>文件截止时间：</w:t>
      </w:r>
      <w:r>
        <w:rPr>
          <w:rFonts w:hint="eastAsia" w:ascii="宋体" w:hAnsi="宋体" w:eastAsia="宋体"/>
          <w:b/>
          <w:sz w:val="24"/>
          <w:szCs w:val="24"/>
          <w:u w:val="single"/>
          <w:lang w:val="en-US"/>
        </w:rPr>
        <w:t xml:space="preserve"> </w:t>
      </w:r>
      <w:r>
        <w:rPr>
          <w:rFonts w:ascii="宋体" w:hAnsi="宋体" w:eastAsia="宋体"/>
          <w:b/>
          <w:sz w:val="24"/>
          <w:szCs w:val="24"/>
          <w:u w:val="single"/>
          <w:lang w:val="en-US"/>
        </w:rPr>
        <w:t>202</w:t>
      </w:r>
      <w:r>
        <w:rPr>
          <w:rFonts w:ascii="宋体" w:hAnsi="宋体" w:eastAsia="宋体"/>
          <w:b/>
          <w:sz w:val="24"/>
          <w:szCs w:val="24"/>
          <w:u w:val="single"/>
        </w:rPr>
        <w:t>3</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11</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7</w:t>
      </w:r>
      <w:r>
        <w:rPr>
          <w:rFonts w:hint="eastAsia" w:ascii="宋体" w:hAnsi="宋体" w:eastAsia="宋体"/>
          <w:b/>
          <w:sz w:val="24"/>
          <w:szCs w:val="24"/>
          <w:u w:val="single"/>
        </w:rPr>
        <w:t>日</w:t>
      </w:r>
      <w:r>
        <w:rPr>
          <w:rFonts w:ascii="宋体" w:hAnsi="宋体" w:eastAsia="宋体"/>
          <w:b/>
          <w:sz w:val="24"/>
          <w:szCs w:val="24"/>
          <w:u w:val="single"/>
          <w:lang w:val="en-US"/>
        </w:rPr>
        <w:t>12</w:t>
      </w:r>
      <w:r>
        <w:rPr>
          <w:rFonts w:hint="eastAsia" w:ascii="宋体" w:hAnsi="宋体" w:eastAsia="宋体"/>
          <w:b/>
          <w:sz w:val="24"/>
          <w:szCs w:val="24"/>
          <w:u w:val="single"/>
        </w:rPr>
        <w:t>时</w:t>
      </w:r>
      <w:r>
        <w:rPr>
          <w:rFonts w:ascii="宋体" w:hAnsi="宋体" w:eastAsia="宋体"/>
          <w:b/>
          <w:sz w:val="24"/>
          <w:szCs w:val="24"/>
          <w:u w:val="single"/>
          <w:lang w:val="en-US"/>
        </w:rPr>
        <w:t>00</w:t>
      </w:r>
      <w:r>
        <w:rPr>
          <w:rFonts w:hint="eastAsia" w:ascii="宋体" w:hAnsi="宋体" w:eastAsia="宋体"/>
          <w:b/>
          <w:sz w:val="24"/>
          <w:szCs w:val="24"/>
          <w:u w:val="single"/>
          <w:lang w:val="en-US"/>
        </w:rPr>
        <w:t>分</w:t>
      </w:r>
    </w:p>
    <w:p>
      <w:pPr>
        <w:spacing w:line="360" w:lineRule="auto"/>
        <w:rPr>
          <w:rFonts w:ascii="宋体" w:hAnsi="宋体" w:eastAsia="宋体"/>
          <w:b/>
          <w:bCs/>
          <w:sz w:val="24"/>
          <w:szCs w:val="24"/>
          <w:shd w:val="clear" w:color="auto" w:fill="FFFFFF"/>
        </w:rPr>
      </w:pPr>
      <w:r>
        <w:rPr>
          <w:rFonts w:hint="eastAsia" w:ascii="宋体" w:hAnsi="宋体" w:eastAsia="宋体"/>
          <w:b/>
          <w:sz w:val="24"/>
          <w:szCs w:val="24"/>
          <w:lang w:val="en-US"/>
        </w:rPr>
        <w:t>8.3响应要求：</w:t>
      </w:r>
      <w:r>
        <w:rPr>
          <w:rFonts w:hint="eastAsia" w:ascii="宋体" w:hAnsi="宋体" w:eastAsia="宋体"/>
          <w:sz w:val="24"/>
          <w:szCs w:val="24"/>
          <w:shd w:val="clear" w:color="auto" w:fill="FFFFFF"/>
          <w:lang w:val="en-US"/>
        </w:rPr>
        <w:t>供应商须在</w:t>
      </w:r>
      <w:r>
        <w:rPr>
          <w:rFonts w:hint="eastAsia" w:ascii="宋体" w:hAnsi="宋体" w:eastAsia="宋体"/>
          <w:b/>
          <w:bCs/>
          <w:sz w:val="24"/>
          <w:szCs w:val="24"/>
          <w:shd w:val="clear" w:color="auto" w:fill="FFFFFF"/>
          <w:lang w:val="en-US"/>
        </w:rPr>
        <w:t>报价</w:t>
      </w:r>
      <w:r>
        <w:rPr>
          <w:rFonts w:hint="eastAsia" w:ascii="宋体" w:hAnsi="宋体" w:eastAsia="宋体"/>
          <w:b/>
          <w:bCs/>
          <w:sz w:val="24"/>
          <w:szCs w:val="24"/>
          <w:shd w:val="clear" w:color="auto" w:fill="FFFFFF"/>
          <w:lang w:val="en-US" w:eastAsia="zh-Hans"/>
        </w:rPr>
        <w:t>截止</w:t>
      </w:r>
      <w:r>
        <w:rPr>
          <w:rFonts w:hint="eastAsia" w:ascii="宋体" w:hAnsi="宋体" w:eastAsia="宋体"/>
          <w:b/>
          <w:bCs/>
          <w:sz w:val="24"/>
          <w:szCs w:val="24"/>
          <w:shd w:val="clear" w:color="auto" w:fill="FFFFFF"/>
          <w:lang w:val="en-US"/>
        </w:rPr>
        <w:t>时间前</w:t>
      </w:r>
      <w:r>
        <w:rPr>
          <w:rFonts w:hint="eastAsia" w:ascii="宋体" w:hAnsi="宋体" w:eastAsia="宋体"/>
          <w:sz w:val="24"/>
          <w:szCs w:val="24"/>
          <w:shd w:val="clear" w:color="auto" w:fill="FFFFFF"/>
          <w:lang w:val="en-US"/>
        </w:rPr>
        <w:t>提交报价及响应文件，响应文件</w:t>
      </w:r>
      <w:r>
        <w:rPr>
          <w:rFonts w:hint="eastAsia" w:ascii="宋体" w:hAnsi="宋体" w:eastAsia="宋体"/>
          <w:sz w:val="24"/>
          <w:szCs w:val="24"/>
        </w:rPr>
        <w:t>的编制</w:t>
      </w:r>
      <w:r>
        <w:rPr>
          <w:rFonts w:hint="eastAsia" w:ascii="宋体" w:hAnsi="宋体" w:eastAsia="宋体"/>
          <w:sz w:val="24"/>
          <w:szCs w:val="24"/>
          <w:shd w:val="clear" w:color="auto" w:fill="FFFFFF"/>
          <w:lang w:val="en-US"/>
        </w:rPr>
        <w:t>应当按照内控询价论证文件统一规定的格式</w:t>
      </w:r>
      <w:r>
        <w:rPr>
          <w:rFonts w:hint="eastAsia" w:ascii="宋体" w:hAnsi="宋体" w:eastAsia="宋体"/>
          <w:b/>
          <w:bCs/>
          <w:sz w:val="24"/>
          <w:szCs w:val="24"/>
          <w:shd w:val="clear" w:color="auto" w:fill="FFFFFF"/>
          <w:lang w:val="en-US"/>
        </w:rPr>
        <w:t>（规定格式中要求盖章或签字的，则必须盖章或签字）</w:t>
      </w:r>
      <w:r>
        <w:rPr>
          <w:rFonts w:hint="eastAsia" w:ascii="宋体" w:hAnsi="宋体" w:eastAsia="宋体"/>
          <w:sz w:val="24"/>
          <w:szCs w:val="24"/>
        </w:rPr>
        <w:t>，供应商可根据自身实际情况进行添加</w:t>
      </w:r>
      <w:r>
        <w:rPr>
          <w:rFonts w:hint="eastAsia" w:ascii="宋体" w:hAnsi="宋体" w:eastAsia="宋体"/>
          <w:b/>
          <w:bCs/>
          <w:sz w:val="24"/>
          <w:szCs w:val="24"/>
          <w:shd w:val="clear" w:color="auto" w:fill="FFFFFF"/>
        </w:rPr>
        <w:t>。</w:t>
      </w:r>
    </w:p>
    <w:p>
      <w:pPr>
        <w:spacing w:line="360" w:lineRule="auto"/>
        <w:rPr>
          <w:rFonts w:ascii="宋体" w:hAnsi="宋体" w:eastAsia="宋体"/>
          <w:b/>
          <w:sz w:val="24"/>
          <w:szCs w:val="24"/>
          <w:lang w:val="en-US"/>
        </w:rPr>
      </w:pPr>
      <w:r>
        <w:rPr>
          <w:rFonts w:ascii="宋体" w:hAnsi="宋体" w:eastAsia="宋体"/>
          <w:b/>
          <w:sz w:val="24"/>
          <w:szCs w:val="24"/>
          <w:lang w:val="en-US"/>
        </w:rPr>
        <w:t>8</w:t>
      </w:r>
      <w:r>
        <w:rPr>
          <w:rFonts w:hint="eastAsia" w:ascii="宋体" w:hAnsi="宋体" w:eastAsia="宋体"/>
          <w:b/>
          <w:sz w:val="24"/>
          <w:szCs w:val="24"/>
          <w:lang w:val="en-US"/>
        </w:rPr>
        <w:t>.</w:t>
      </w:r>
      <w:r>
        <w:rPr>
          <w:rFonts w:ascii="宋体" w:hAnsi="宋体" w:eastAsia="宋体"/>
          <w:b/>
          <w:sz w:val="24"/>
          <w:szCs w:val="24"/>
          <w:lang w:val="en-US"/>
        </w:rPr>
        <w:t xml:space="preserve">4 </w:t>
      </w:r>
      <w:r>
        <w:rPr>
          <w:rFonts w:hint="eastAsia" w:ascii="宋体" w:hAnsi="宋体" w:eastAsia="宋体"/>
          <w:b/>
          <w:sz w:val="24"/>
          <w:szCs w:val="24"/>
          <w:lang w:val="en-US"/>
        </w:rPr>
        <w:t>报名要求: 请意向参与者务必截止日</w:t>
      </w:r>
      <w:r>
        <w:rPr>
          <w:rFonts w:hint="eastAsia" w:ascii="宋体" w:hAnsi="宋体" w:eastAsia="宋体"/>
          <w:b/>
          <w:sz w:val="24"/>
          <w:szCs w:val="24"/>
          <w:lang w:val="en-US" w:eastAsia="zh-CN"/>
        </w:rPr>
        <w:t>11</w:t>
      </w:r>
      <w:r>
        <w:rPr>
          <w:rFonts w:hint="eastAsia" w:ascii="宋体" w:hAnsi="宋体" w:eastAsia="宋体"/>
          <w:b/>
          <w:sz w:val="24"/>
          <w:szCs w:val="24"/>
          <w:lang w:val="en-US"/>
        </w:rPr>
        <w:t>月</w:t>
      </w:r>
      <w:r>
        <w:rPr>
          <w:rFonts w:hint="eastAsia" w:ascii="宋体" w:hAnsi="宋体" w:eastAsia="宋体"/>
          <w:b/>
          <w:sz w:val="24"/>
          <w:szCs w:val="24"/>
          <w:lang w:val="en-US" w:eastAsia="zh-CN"/>
        </w:rPr>
        <w:t>7</w:t>
      </w:r>
      <w:r>
        <w:rPr>
          <w:rFonts w:hint="eastAsia" w:ascii="宋体" w:hAnsi="宋体" w:eastAsia="宋体"/>
          <w:b/>
          <w:sz w:val="24"/>
          <w:szCs w:val="24"/>
          <w:lang w:val="en-US"/>
        </w:rPr>
        <w:t>日1</w:t>
      </w:r>
      <w:r>
        <w:rPr>
          <w:rFonts w:ascii="宋体" w:hAnsi="宋体" w:eastAsia="宋体"/>
          <w:b/>
          <w:sz w:val="24"/>
          <w:szCs w:val="24"/>
          <w:lang w:val="en-US"/>
        </w:rPr>
        <w:t>2</w:t>
      </w:r>
      <w:r>
        <w:rPr>
          <w:rFonts w:hint="eastAsia" w:ascii="宋体" w:hAnsi="宋体" w:eastAsia="宋体"/>
          <w:b/>
          <w:sz w:val="24"/>
          <w:szCs w:val="24"/>
          <w:lang w:val="en-US"/>
        </w:rPr>
        <w:t>时0</w:t>
      </w:r>
      <w:r>
        <w:rPr>
          <w:rFonts w:ascii="宋体" w:hAnsi="宋体" w:eastAsia="宋体"/>
          <w:b/>
          <w:sz w:val="24"/>
          <w:szCs w:val="24"/>
          <w:lang w:val="en-US"/>
        </w:rPr>
        <w:t>0</w:t>
      </w:r>
      <w:r>
        <w:rPr>
          <w:rFonts w:hint="eastAsia" w:ascii="宋体" w:hAnsi="宋体" w:eastAsia="宋体"/>
          <w:b/>
          <w:sz w:val="24"/>
          <w:szCs w:val="24"/>
          <w:lang w:val="en-US"/>
        </w:rPr>
        <w:t>分前将报名表(报名表详见附件)发至邮箱：jnyyxxc@163.com</w:t>
      </w:r>
    </w:p>
    <w:p>
      <w:pPr>
        <w:spacing w:line="360" w:lineRule="auto"/>
        <w:rPr>
          <w:rFonts w:ascii="宋体" w:hAnsi="宋体" w:eastAsia="宋体"/>
          <w:sz w:val="24"/>
          <w:szCs w:val="24"/>
          <w:shd w:val="clear" w:color="auto" w:fill="FFFFFF"/>
        </w:rPr>
      </w:pPr>
      <w:r>
        <w:rPr>
          <w:rFonts w:ascii="宋体" w:hAnsi="宋体" w:eastAsia="宋体"/>
          <w:b/>
          <w:bCs/>
          <w:sz w:val="24"/>
          <w:szCs w:val="24"/>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shd w:val="clear" w:color="auto" w:fill="FFFFFF"/>
        </w:rPr>
        <w:t>联系人：熊老师</w:t>
      </w:r>
    </w:p>
    <w:p>
      <w:pPr>
        <w:spacing w:line="360" w:lineRule="auto"/>
        <w:rPr>
          <w:rFonts w:ascii="宋体" w:hAnsi="宋体" w:eastAsia="宋体"/>
          <w:sz w:val="24"/>
          <w:szCs w:val="24"/>
          <w:shd w:val="clear" w:color="auto" w:fill="FFFFFF"/>
          <w:lang w:val="en-US"/>
        </w:rPr>
      </w:pPr>
      <w:r>
        <w:rPr>
          <w:rFonts w:hint="eastAsia" w:ascii="宋体" w:hAnsi="宋体" w:eastAsia="宋体"/>
          <w:sz w:val="24"/>
          <w:szCs w:val="24"/>
          <w:shd w:val="clear" w:color="auto" w:fill="FFFFFF"/>
        </w:rPr>
        <w:t>联系电话：</w:t>
      </w:r>
      <w:r>
        <w:rPr>
          <w:rFonts w:hint="eastAsia" w:ascii="宋体" w:hAnsi="宋体" w:eastAsia="宋体"/>
          <w:sz w:val="24"/>
          <w:szCs w:val="24"/>
          <w:shd w:val="clear" w:color="auto" w:fill="FFFFFF"/>
          <w:lang w:val="en-US"/>
        </w:rPr>
        <w:t>13645153881</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地址：南京市江宁区湖山路169号江宁医院3号楼7楼</w:t>
      </w:r>
    </w:p>
    <w:p>
      <w:pPr>
        <w:spacing w:line="360" w:lineRule="auto"/>
        <w:rPr>
          <w:rFonts w:ascii="宋体" w:hAnsi="宋体" w:eastAsia="宋体"/>
          <w:b/>
          <w:sz w:val="24"/>
          <w:szCs w:val="24"/>
          <w:shd w:val="clear" w:color="auto" w:fill="FFFFFF"/>
          <w:lang w:val="en-US"/>
        </w:rPr>
      </w:pPr>
      <w:r>
        <w:rPr>
          <w:rFonts w:ascii="宋体" w:hAnsi="宋体" w:eastAsia="宋体"/>
          <w:b/>
          <w:sz w:val="24"/>
          <w:szCs w:val="24"/>
          <w:shd w:val="clear" w:color="auto" w:fill="FFFFFF"/>
          <w:lang w:val="en-US"/>
        </w:rPr>
        <w:t>10、</w:t>
      </w:r>
      <w:r>
        <w:rPr>
          <w:rFonts w:hint="eastAsia" w:ascii="宋体" w:hAnsi="宋体" w:eastAsia="宋体"/>
          <w:b/>
          <w:bCs/>
          <w:sz w:val="24"/>
          <w:szCs w:val="24"/>
        </w:rPr>
        <w:t>南京市政府采购供应商诚信档案管理系统注册登记管理：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ascii="宋体" w:hAnsi="宋体" w:eastAsia="宋体"/>
          <w:sz w:val="24"/>
          <w:szCs w:val="24"/>
          <w:shd w:val="clear" w:color="auto" w:fill="FFFFFF"/>
          <w:lang w:val="en-US"/>
        </w:rPr>
        <w:t>0</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号）、《关于在政府询价论证活动中查询及使用信用记录有关问题的通知》(财库〔2016〕125 号) 等文件精神，结合南京市政府采购工作实际，现鼓励各潜在供应商对其诚信档案进行注册登记管理。</w:t>
      </w:r>
    </w:p>
    <w:p>
      <w:pPr>
        <w:tabs>
          <w:tab w:val="left" w:pos="1399"/>
        </w:tabs>
        <w:autoSpaceDE w:val="0"/>
        <w:autoSpaceDN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eastAsia="宋体"/>
          <w:sz w:val="24"/>
          <w:szCs w:val="24"/>
          <w:lang w:val="en-US"/>
        </w:rPr>
        <w:t>0</w:t>
      </w:r>
      <w:r>
        <w:rPr>
          <w:rFonts w:ascii="Times New Roman" w:hAnsi="Times New Roman"/>
          <w:sz w:val="24"/>
          <w:szCs w:val="24"/>
        </w:rPr>
        <w:t>.2</w:t>
      </w:r>
      <w:r>
        <w:rPr>
          <w:rFonts w:hint="eastAsia" w:ascii="宋体" w:hAnsi="宋体" w:eastAsia="宋体"/>
          <w:sz w:val="24"/>
          <w:szCs w:val="24"/>
        </w:rPr>
        <w:t>凡在南京地区参加政府询价论证活动的供应商，应当事先登录“信用南京”（www.njcredit.gov.cn）或</w:t>
      </w:r>
      <w:r>
        <w:rPr>
          <w:rFonts w:ascii="宋体" w:hAnsi="宋体" w:eastAsia="宋体"/>
          <w:sz w:val="24"/>
          <w:szCs w:val="24"/>
        </w:rPr>
        <w:t>“南京公共采购信息网”（https://njgc.jfh.com/）主页“南京市政府采购供应商诚信档案”</w:t>
      </w:r>
      <w:r>
        <w:rPr>
          <w:rFonts w:hint="eastAsia" w:ascii="宋体" w:hAnsi="宋体" w:eastAsia="宋体"/>
          <w:sz w:val="24"/>
          <w:szCs w:val="24"/>
        </w:rPr>
        <w:t>栏目进行注册登记。由于特殊原因未及时注册的供应商可先行获取询价论证文件，</w:t>
      </w:r>
      <w:r>
        <w:rPr>
          <w:rFonts w:hint="eastAsia" w:ascii="宋体" w:hAnsi="宋体" w:eastAsia="宋体"/>
          <w:b/>
          <w:bCs/>
          <w:sz w:val="24"/>
          <w:szCs w:val="24"/>
        </w:rPr>
        <w:t>但必须在提交投标（响应）文件截止日2天前办理登记注册手续</w:t>
      </w:r>
      <w:r>
        <w:rPr>
          <w:rFonts w:hint="eastAsia" w:ascii="宋体" w:hAnsi="宋体" w:eastAsia="宋体"/>
          <w:sz w:val="24"/>
          <w:szCs w:val="24"/>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w:t>
      </w:r>
      <w:r>
        <w:rPr>
          <w:rFonts w:ascii="宋体" w:hAnsi="宋体" w:eastAsia="宋体"/>
          <w:b/>
          <w:sz w:val="24"/>
          <w:szCs w:val="24"/>
          <w:shd w:val="clear" w:color="auto" w:fill="FFFFFF"/>
          <w:lang w:val="en-US"/>
        </w:rPr>
        <w:t>0</w:t>
      </w:r>
      <w:r>
        <w:rPr>
          <w:rFonts w:hint="eastAsia" w:ascii="宋体" w:hAnsi="宋体" w:eastAsia="宋体"/>
          <w:b/>
          <w:sz w:val="24"/>
          <w:szCs w:val="24"/>
          <w:shd w:val="clear" w:color="auto" w:fill="FFFFFF"/>
          <w:lang w:val="en-US"/>
        </w:rPr>
        <w:t>.3供应商拟申请网上注册的，应当按以下程序进行：</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）登录</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信用南京</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www.njcredit.gov.cn</w:t>
      </w:r>
      <w:r>
        <w:rPr>
          <w:rFonts w:hint="eastAsia" w:ascii="宋体" w:hAnsi="宋体" w:eastAsia="宋体"/>
          <w:bCs/>
          <w:sz w:val="24"/>
          <w:szCs w:val="24"/>
          <w:shd w:val="clear" w:color="auto" w:fill="FFFFFF"/>
          <w:lang w:val="en-US"/>
        </w:rPr>
        <w:t>）或</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南京公共采购信息网</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https://njgc.jfh.com/</w:t>
      </w:r>
      <w:r>
        <w:rPr>
          <w:rFonts w:hint="eastAsia" w:ascii="宋体" w:hAnsi="宋体" w:eastAsia="宋体"/>
          <w:bCs/>
          <w:sz w:val="24"/>
          <w:szCs w:val="24"/>
          <w:shd w:val="clear" w:color="auto" w:fill="FFFFFF"/>
          <w:lang w:val="en-US"/>
        </w:rPr>
        <w:t>）网站，点击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南京政府采购供应商诚信档案管理系统</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图标，在弹出的用户登录界面，点击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 xml:space="preserve"> </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）在</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界面，供应商自行设置用户名、登录密码，如实填写《南京市政府采购供应商诚信档案注册登记表》，并进行信用承诺确认后，提交注册申请；</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）系统审核后，供应商即可登录系统进行《南京市政府采购供应商信用记录表暨信用承诺书》打印；</w:t>
      </w:r>
    </w:p>
    <w:p>
      <w:pPr>
        <w:tabs>
          <w:tab w:val="left" w:pos="1460"/>
        </w:tabs>
        <w:spacing w:line="360" w:lineRule="auto"/>
        <w:rPr>
          <w:rFonts w:ascii="Times New Roman" w:hAnsi="Times New Roman" w:eastAsia="宋体"/>
          <w:sz w:val="24"/>
          <w:szCs w:val="24"/>
          <w:lang w:val="en-US"/>
        </w:rPr>
      </w:pPr>
      <w:r>
        <w:rPr>
          <w:rFonts w:hint="eastAsia" w:ascii="微软雅黑" w:hAnsi="微软雅黑" w:eastAsia="微软雅黑" w:cs="微软雅黑"/>
          <w:sz w:val="24"/>
          <w:szCs w:val="24"/>
        </w:rPr>
        <w:t>（</w:t>
      </w:r>
      <w:r>
        <w:rPr>
          <w:rFonts w:hint="eastAsia" w:ascii="Times New Roman" w:hAnsi="Times New Roman"/>
          <w:sz w:val="24"/>
          <w:szCs w:val="24"/>
          <w:lang w:val="en-US"/>
        </w:rPr>
        <w:t>4</w:t>
      </w:r>
      <w:r>
        <w:rPr>
          <w:rFonts w:hint="eastAsia" w:ascii="微软雅黑" w:hAnsi="微软雅黑" w:eastAsia="微软雅黑" w:cs="微软雅黑"/>
          <w:sz w:val="24"/>
          <w:szCs w:val="24"/>
          <w:lang w:val="en-US"/>
        </w:rPr>
        <w:t>）</w:t>
      </w:r>
      <w:r>
        <w:rPr>
          <w:rFonts w:hint="eastAsia" w:ascii="宋体" w:hAnsi="宋体" w:eastAsia="宋体"/>
          <w:b/>
          <w:bCs/>
          <w:sz w:val="24"/>
          <w:szCs w:val="24"/>
        </w:rPr>
        <w:t>南京市政府采购供应商诚信档案管理系统客服电话：</w:t>
      </w:r>
      <w:r>
        <w:rPr>
          <w:rFonts w:hint="eastAsia" w:ascii="宋体" w:hAnsi="宋体" w:eastAsia="宋体"/>
          <w:sz w:val="24"/>
          <w:szCs w:val="24"/>
        </w:rPr>
        <w:t>025-52718366；供应商可就用户注册与打印“南京市政府采购供应商信用记录表暨信用承诺书”等事宜进行咨询</w:t>
      </w:r>
      <w:r>
        <w:rPr>
          <w:rFonts w:hint="eastAsia" w:ascii="微软雅黑" w:hAnsi="微软雅黑" w:eastAsia="微软雅黑" w:cs="微软雅黑"/>
          <w:sz w:val="24"/>
          <w:szCs w:val="24"/>
        </w:rPr>
        <w:t>。</w:t>
      </w:r>
    </w:p>
    <w:p>
      <w:pPr>
        <w:tabs>
          <w:tab w:val="left" w:pos="1460"/>
        </w:tabs>
        <w:spacing w:line="360" w:lineRule="auto"/>
        <w:rPr>
          <w:rFonts w:ascii="宋体" w:hAnsi="宋体" w:eastAsia="宋体"/>
          <w:b/>
          <w:bCs/>
          <w:color w:val="FF0000"/>
          <w:sz w:val="24"/>
          <w:szCs w:val="24"/>
          <w:lang w:val="en-US"/>
        </w:rPr>
      </w:pPr>
      <w:r>
        <w:rPr>
          <w:rFonts w:ascii="Times New Roman" w:hAnsi="Times New Roman"/>
          <w:bCs/>
          <w:sz w:val="24"/>
          <w:szCs w:val="24"/>
        </w:rPr>
        <w:t>1</w:t>
      </w:r>
      <w:r>
        <w:rPr>
          <w:rFonts w:ascii="Times New Roman" w:hAnsi="Times New Roman" w:eastAsia="宋体"/>
          <w:bCs/>
          <w:sz w:val="24"/>
          <w:szCs w:val="24"/>
          <w:lang w:val="en-US"/>
        </w:rPr>
        <w:t>0</w:t>
      </w:r>
      <w:r>
        <w:rPr>
          <w:rFonts w:ascii="Times New Roman" w:hAnsi="Times New Roman"/>
          <w:bCs/>
          <w:sz w:val="24"/>
          <w:szCs w:val="24"/>
        </w:rPr>
        <w:t>.</w:t>
      </w:r>
      <w:r>
        <w:rPr>
          <w:rFonts w:hint="eastAsia" w:ascii="Times New Roman" w:hAnsi="Times New Roman"/>
          <w:bCs/>
          <w:sz w:val="24"/>
          <w:szCs w:val="24"/>
          <w:lang w:val="en-US"/>
        </w:rPr>
        <w:t>4</w:t>
      </w:r>
      <w:r>
        <w:rPr>
          <w:rFonts w:hint="eastAsia" w:ascii="宋体" w:hAnsi="宋体" w:eastAsia="宋体"/>
          <w:bCs/>
          <w:sz w:val="24"/>
          <w:szCs w:val="24"/>
        </w:rPr>
        <w:t>供应商需</w:t>
      </w:r>
      <w:r>
        <w:rPr>
          <w:rFonts w:hint="eastAsia" w:ascii="宋体" w:hAnsi="宋体" w:eastAsia="宋体"/>
          <w:b/>
          <w:sz w:val="24"/>
          <w:szCs w:val="24"/>
        </w:rPr>
        <w:t>每次</w:t>
      </w:r>
      <w:r>
        <w:rPr>
          <w:rFonts w:hint="eastAsia" w:ascii="宋体" w:hAnsi="宋体" w:eastAsia="宋体"/>
          <w:bCs/>
          <w:sz w:val="24"/>
          <w:szCs w:val="24"/>
        </w:rPr>
        <w:t>参加询价论证活动时，在询价论证文件发布之日起至递交投标（响应）文件截止日前，应先登录诚信档案管理系统在线打印其</w:t>
      </w:r>
      <w:r>
        <w:rPr>
          <w:rFonts w:hint="eastAsia" w:ascii="宋体" w:hAnsi="宋体" w:eastAsia="宋体"/>
          <w:b/>
          <w:sz w:val="24"/>
          <w:szCs w:val="24"/>
        </w:rPr>
        <w:t>“南京市政府采购供应商信用记录表暨信用承诺书”</w:t>
      </w:r>
      <w:r>
        <w:rPr>
          <w:rFonts w:hint="eastAsia" w:ascii="宋体" w:hAnsi="宋体" w:eastAsia="宋体"/>
          <w:bCs/>
          <w:sz w:val="24"/>
          <w:szCs w:val="24"/>
        </w:rPr>
        <w:t>，经</w:t>
      </w:r>
      <w:r>
        <w:rPr>
          <w:rFonts w:hint="eastAsia" w:ascii="宋体" w:hAnsi="宋体" w:eastAsia="宋体"/>
          <w:b/>
          <w:sz w:val="24"/>
          <w:szCs w:val="24"/>
        </w:rPr>
        <w:t>法定代表人签名盖章</w:t>
      </w:r>
      <w:r>
        <w:rPr>
          <w:rFonts w:hint="eastAsia" w:ascii="宋体" w:hAnsi="宋体" w:eastAsia="宋体"/>
          <w:bCs/>
          <w:sz w:val="24"/>
          <w:szCs w:val="24"/>
        </w:rPr>
        <w:t>后作为投标（响应）文件的组成部分提交。</w:t>
      </w:r>
      <w:r>
        <w:rPr>
          <w:rFonts w:hint="eastAsia" w:ascii="宋体" w:hAnsi="宋体" w:eastAsia="宋体"/>
          <w:b/>
          <w:sz w:val="24"/>
          <w:szCs w:val="24"/>
        </w:rPr>
        <w:t>“南京市政府采购供应商信用记录表暨信用承诺书”是其参加政府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微软雅黑" w:hAnsi="微软雅黑" w:eastAsia="微软雅黑" w:cs="微软雅黑"/>
          <w:b/>
          <w:sz w:val="24"/>
          <w:szCs w:val="24"/>
        </w:rPr>
        <w:t>。</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本次询价论证文件后，认真阅读各项内容，进行必要的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准备，按询价论证文件的要求详细填写和编制响应文件，并按以上确定的时间提交响应文件。</w:t>
      </w:r>
    </w:p>
    <w:p>
      <w:pPr>
        <w:spacing w:line="360" w:lineRule="auto"/>
        <w:ind w:firstLine="640" w:firstLineChars="200"/>
        <w:jc w:val="left"/>
        <w:rPr>
          <w:rFonts w:ascii="微软雅黑" w:hAnsi="微软雅黑" w:eastAsia="微软雅黑" w:cs="微软雅黑"/>
          <w:bCs/>
          <w:color w:val="000000"/>
          <w:sz w:val="32"/>
          <w:szCs w:val="36"/>
        </w:rPr>
      </w:pP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sz w:val="32"/>
          <w:szCs w:val="44"/>
        </w:rPr>
        <w:t>第二章  成交标准及注意事项</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1、供应商须在</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文件提交</w:t>
      </w:r>
      <w:r>
        <w:rPr>
          <w:rFonts w:hint="eastAsia" w:ascii="宋体" w:hAnsi="宋体" w:eastAsia="宋体"/>
          <w:b/>
          <w:sz w:val="24"/>
          <w:szCs w:val="24"/>
          <w:shd w:val="clear" w:color="auto" w:fill="FFFFFF"/>
          <w:lang w:val="en-US" w:eastAsia="zh-Hans"/>
        </w:rPr>
        <w:t>截止</w:t>
      </w:r>
      <w:r>
        <w:rPr>
          <w:rFonts w:hint="eastAsia" w:ascii="宋体" w:hAnsi="宋体" w:eastAsia="宋体"/>
          <w:b/>
          <w:sz w:val="24"/>
          <w:szCs w:val="24"/>
          <w:shd w:val="clear" w:color="auto" w:fill="FFFFFF"/>
          <w:lang w:val="en-US"/>
        </w:rPr>
        <w:t>时间前提交报价及响应文件，响应文件的编制应当按照内控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文件统一规定的格式（规定格式中要求盖章或签字的，则必须盖章或签字）；</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2、第三章内控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项目需求中带星号（“★”）的技术要求的技术要求以及商务要求均为实质性要求，不得负偏离；</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3、内控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符合条件的报价供应商须满足三家及以上，否则本次内控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将做无效处理；</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4、</w:t>
      </w:r>
      <w:r>
        <w:rPr>
          <w:rFonts w:ascii="宋体" w:hAnsi="宋体" w:eastAsia="宋体"/>
          <w:b/>
          <w:sz w:val="24"/>
          <w:szCs w:val="24"/>
          <w:shd w:val="clear" w:color="auto" w:fill="FFFFFF"/>
          <w:lang w:val="en-US"/>
        </w:rPr>
        <w:t>内控</w:t>
      </w:r>
      <w:r>
        <w:rPr>
          <w:rFonts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eastAsia="zh-Hans"/>
        </w:rPr>
        <w:t>截止</w:t>
      </w:r>
      <w:r>
        <w:rPr>
          <w:rFonts w:ascii="宋体" w:hAnsi="宋体" w:eastAsia="宋体"/>
          <w:b/>
          <w:sz w:val="24"/>
          <w:szCs w:val="24"/>
          <w:shd w:val="clear" w:color="auto" w:fill="FFFFFF"/>
          <w:lang w:val="en-US"/>
        </w:rPr>
        <w:t>时间后，采购人</w:t>
      </w:r>
      <w:r>
        <w:rPr>
          <w:rFonts w:hint="eastAsia" w:ascii="宋体" w:hAnsi="宋体" w:eastAsia="宋体"/>
          <w:b/>
          <w:sz w:val="24"/>
          <w:szCs w:val="24"/>
          <w:shd w:val="clear" w:color="auto" w:fill="FFFFFF"/>
          <w:lang w:val="en-US" w:eastAsia="zh-Hans"/>
        </w:rPr>
        <w:t>或评审小组</w:t>
      </w:r>
      <w:r>
        <w:rPr>
          <w:rFonts w:ascii="宋体" w:hAnsi="宋体" w:eastAsia="宋体"/>
          <w:b/>
          <w:sz w:val="24"/>
          <w:szCs w:val="24"/>
          <w:shd w:val="clear" w:color="auto" w:fill="FFFFFF"/>
          <w:lang w:val="en-US"/>
        </w:rPr>
        <w:t>按产品档次、技术指标响应同等条件下，价格最低者为本项目意向性供应商</w:t>
      </w:r>
      <w:r>
        <w:rPr>
          <w:rFonts w:hint="eastAsia" w:ascii="宋体" w:hAnsi="宋体" w:eastAsia="宋体"/>
          <w:b/>
          <w:sz w:val="24"/>
          <w:szCs w:val="24"/>
          <w:shd w:val="clear" w:color="auto" w:fill="FFFFFF"/>
          <w:lang w:val="en-US"/>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5</w:t>
      </w:r>
      <w:r>
        <w:rPr>
          <w:rFonts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rPr>
        <w:t>报价说明：</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）价格部分是对软件和服务价格构成的说明，询价论证文件如没有特别说明的话，对每一项软件和服务仅接受一个价格；</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）报价应包含完成本软件和部署发生的所有含税费用、支付给员工的工资、支付给专家的评审费和国家强制缴纳的各种社会保障资金，以及供应商认为需要的其他费用等；</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）供应商应充分考虑到市场价格变动，以及项目实施过程中的不可预见因素，一旦成交，总价格不变。如果有漏项，视同让利；</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rPr>
          <w:rFonts w:eastAsiaTheme="minorEastAsia"/>
          <w:lang w:val="en-US"/>
        </w:rPr>
      </w:pPr>
    </w:p>
    <w:p>
      <w:pPr>
        <w:pStyle w:val="2"/>
        <w:rPr>
          <w:rFonts w:eastAsiaTheme="minorEastAsia"/>
          <w:lang w:val="en-US"/>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内控</w:t>
      </w:r>
      <w:r>
        <w:rPr>
          <w:rFonts w:hint="eastAsia" w:hAnsi="黑体" w:cs="黑体"/>
          <w:b w:val="0"/>
          <w:bCs/>
          <w:sz w:val="32"/>
          <w:szCs w:val="44"/>
        </w:rPr>
        <w:t>询价论证</w:t>
      </w:r>
      <w:r>
        <w:rPr>
          <w:rFonts w:hint="eastAsia" w:hAnsi="黑体" w:cs="黑体"/>
          <w:bCs/>
          <w:sz w:val="32"/>
          <w:szCs w:val="44"/>
        </w:rPr>
        <w:t>项目需求</w:t>
      </w:r>
    </w:p>
    <w:p>
      <w:pPr>
        <w:widowControl/>
        <w:shd w:val="clear" w:color="auto" w:fill="FFFFFF"/>
        <w:spacing w:line="360" w:lineRule="auto"/>
        <w:outlineLvl w:val="1"/>
      </w:pPr>
      <w:r>
        <w:rPr>
          <w:rFonts w:hint="eastAsia" w:ascii="宋体" w:hAnsi="宋体" w:eastAsia="宋体"/>
          <w:b/>
          <w:bCs/>
          <w:color w:val="000000"/>
          <w:sz w:val="24"/>
          <w:szCs w:val="24"/>
        </w:rPr>
        <w:t>一、项目概况</w:t>
      </w:r>
    </w:p>
    <w:p>
      <w:pPr>
        <w:spacing w:line="360" w:lineRule="auto"/>
        <w:ind w:firstLine="480" w:firstLineChars="200"/>
        <w:rPr>
          <w:rFonts w:eastAsia="宋体" w:cs="Times New Roman"/>
          <w:kern w:val="2"/>
          <w:sz w:val="24"/>
          <w:szCs w:val="24"/>
          <w:lang w:val="en-US"/>
        </w:rPr>
      </w:pPr>
      <w:r>
        <w:rPr>
          <w:rFonts w:hint="eastAsia" w:eastAsia="宋体" w:cs="Times New Roman"/>
          <w:kern w:val="2"/>
          <w:sz w:val="24"/>
          <w:szCs w:val="24"/>
          <w:lang w:val="en-US"/>
        </w:rPr>
        <w:t>为解决</w:t>
      </w:r>
      <w:r>
        <w:rPr>
          <w:rFonts w:hint="eastAsia" w:ascii="宋体" w:hAnsi="宋体" w:eastAsia="宋体"/>
          <w:sz w:val="24"/>
          <w:szCs w:val="24"/>
        </w:rPr>
        <w:t>江宁医院</w:t>
      </w:r>
      <w:r>
        <w:rPr>
          <w:rFonts w:hint="eastAsia" w:eastAsia="宋体" w:cs="Times New Roman"/>
          <w:kern w:val="2"/>
          <w:sz w:val="24"/>
          <w:szCs w:val="24"/>
          <w:lang w:val="en-US"/>
        </w:rPr>
        <w:t>科室的工作需求，完善科室的工作流程，提升科室的实际工作效率，经过实际调研以及征求使用部门的意见，需对全院心电网络系统进行升级部署。升级后的全院心电网络系统拥有更加人性化的操作界面，更加丰富的功能设计，优化数据传输和存储方式。</w:t>
      </w:r>
      <w:r>
        <w:rPr>
          <w:rFonts w:eastAsia="宋体" w:cs="Times New Roman"/>
          <w:kern w:val="2"/>
          <w:sz w:val="24"/>
          <w:szCs w:val="24"/>
          <w:lang w:val="en-US"/>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为满足南京市江宁医院全院心电网络系统项目采购需求,</w:t>
      </w:r>
      <w:r>
        <w:rPr>
          <w:rFonts w:ascii="宋体" w:hAnsi="宋体" w:eastAsia="宋体"/>
          <w:sz w:val="24"/>
          <w:szCs w:val="24"/>
        </w:rPr>
        <w:t xml:space="preserve"> </w:t>
      </w:r>
      <w:r>
        <w:rPr>
          <w:rFonts w:hint="eastAsia" w:ascii="宋体" w:hAnsi="宋体" w:eastAsia="宋体"/>
          <w:sz w:val="24"/>
          <w:szCs w:val="24"/>
        </w:rPr>
        <w:t>开展本项目询价论证。</w:t>
      </w:r>
    </w:p>
    <w:p>
      <w:pPr>
        <w:pStyle w:val="427"/>
        <w:tabs>
          <w:tab w:val="clear" w:pos="1760"/>
        </w:tabs>
        <w:spacing w:before="0"/>
        <w:ind w:left="0" w:leftChars="0" w:right="0" w:rightChars="0"/>
        <w:rPr>
          <w:color w:val="000000"/>
          <w:lang w:eastAsia="zh-CN"/>
        </w:rPr>
      </w:pPr>
      <w:r>
        <w:rPr>
          <w:rFonts w:hint="eastAsia"/>
          <w:color w:val="000000"/>
          <w:lang w:eastAsia="zh-CN"/>
        </w:rPr>
        <w:t>二、本项目采购需求</w:t>
      </w:r>
    </w:p>
    <w:p>
      <w:pPr>
        <w:pStyle w:val="2"/>
        <w:spacing w:line="360" w:lineRule="auto"/>
        <w:ind w:left="0"/>
        <w:rPr>
          <w:rFonts w:ascii="宋体" w:hAnsi="宋体" w:eastAsia="宋体"/>
          <w:sz w:val="24"/>
          <w:szCs w:val="24"/>
        </w:rPr>
      </w:pPr>
      <w:r>
        <w:rPr>
          <w:rFonts w:hint="eastAsia" w:eastAsiaTheme="minorEastAsia"/>
        </w:rPr>
        <w:t xml:space="preserve"> </w:t>
      </w:r>
      <w:r>
        <w:rPr>
          <w:rFonts w:eastAsiaTheme="minorEastAsia"/>
        </w:rPr>
        <w:t xml:space="preserve">    </w:t>
      </w:r>
      <w:r>
        <w:rPr>
          <w:rFonts w:hint="eastAsia" w:ascii="宋体" w:hAnsi="宋体" w:eastAsia="宋体"/>
          <w:sz w:val="24"/>
          <w:szCs w:val="24"/>
        </w:rPr>
        <w:t>全院心电网络系统项目采购按年度平均用量综合估算列表如下</w:t>
      </w:r>
      <w:r>
        <w:rPr>
          <w:rFonts w:ascii="宋体" w:hAnsi="宋体" w:eastAsia="宋体"/>
          <w:sz w:val="24"/>
          <w:szCs w:val="24"/>
        </w:rPr>
        <w:t>：</w:t>
      </w:r>
    </w:p>
    <w:tbl>
      <w:tblPr>
        <w:tblStyle w:val="58"/>
        <w:tblW w:w="9346" w:type="dxa"/>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578"/>
        <w:gridCol w:w="855"/>
        <w:gridCol w:w="915"/>
        <w:gridCol w:w="499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9" w:hRule="atLeast"/>
          <w:jc w:val="center"/>
        </w:trPr>
        <w:tc>
          <w:tcPr>
            <w:tcW w:w="257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33"/>
              <w:jc w:val="left"/>
              <w:rPr>
                <w:rFonts w:eastAsia="宋体"/>
                <w:b/>
                <w:bCs/>
                <w:sz w:val="24"/>
                <w:szCs w:val="24"/>
              </w:rPr>
            </w:pPr>
            <w:r>
              <w:rPr>
                <w:rFonts w:hint="eastAsia" w:eastAsia="宋体"/>
                <w:b/>
                <w:bCs/>
                <w:sz w:val="24"/>
                <w:szCs w:val="24"/>
              </w:rPr>
              <w:t>项目</w:t>
            </w:r>
            <w:r>
              <w:rPr>
                <w:rFonts w:hint="eastAsia"/>
                <w:b/>
                <w:bCs/>
                <w:sz w:val="24"/>
                <w:szCs w:val="24"/>
              </w:rPr>
              <w:t>名称</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5"/>
              <w:jc w:val="center"/>
              <w:rPr>
                <w:rFonts w:eastAsia="宋体"/>
                <w:b/>
                <w:bCs/>
                <w:sz w:val="24"/>
                <w:szCs w:val="24"/>
              </w:rPr>
            </w:pPr>
            <w:r>
              <w:rPr>
                <w:rFonts w:hint="eastAsia"/>
                <w:b/>
                <w:bCs/>
                <w:sz w:val="24"/>
                <w:szCs w:val="24"/>
              </w:rPr>
              <w:t>单位</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left="111" w:right="73"/>
              <w:jc w:val="center"/>
              <w:rPr>
                <w:rFonts w:ascii="宋体" w:hAnsi="宋体" w:eastAsia="宋体"/>
                <w:b/>
                <w:bCs/>
                <w:sz w:val="24"/>
                <w:szCs w:val="24"/>
              </w:rPr>
            </w:pPr>
            <w:r>
              <w:rPr>
                <w:rFonts w:hint="eastAsia" w:ascii="宋体" w:hAnsi="宋体" w:eastAsia="宋体"/>
                <w:b/>
                <w:bCs/>
                <w:sz w:val="24"/>
                <w:szCs w:val="24"/>
              </w:rPr>
              <w:t>数量</w:t>
            </w:r>
          </w:p>
        </w:tc>
        <w:tc>
          <w:tcPr>
            <w:tcW w:w="499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509"/>
              <w:jc w:val="center"/>
              <w:rPr>
                <w:b/>
                <w:bCs/>
                <w:sz w:val="24"/>
                <w:szCs w:val="24"/>
              </w:rPr>
            </w:pPr>
            <w:r>
              <w:rPr>
                <w:b/>
                <w:bCs/>
                <w:sz w:val="24"/>
                <w:szCs w:val="24"/>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jc w:val="center"/>
        </w:trPr>
        <w:tc>
          <w:tcPr>
            <w:tcW w:w="2578" w:type="dxa"/>
            <w:tcBorders>
              <w:top w:val="single" w:color="000000" w:sz="8" w:space="0"/>
              <w:left w:val="single" w:color="000000" w:sz="8" w:space="0"/>
              <w:bottom w:val="single" w:color="000000" w:sz="8" w:space="0"/>
              <w:right w:val="single" w:color="000000" w:sz="8" w:space="0"/>
            </w:tcBorders>
          </w:tcPr>
          <w:p>
            <w:pPr>
              <w:pStyle w:val="429"/>
              <w:tabs>
                <w:tab w:val="left" w:pos="880"/>
              </w:tabs>
              <w:autoSpaceDE w:val="0"/>
              <w:autoSpaceDN w:val="0"/>
              <w:spacing w:before="21" w:line="360" w:lineRule="auto"/>
              <w:ind w:right="-10"/>
              <w:jc w:val="left"/>
              <w:rPr>
                <w:rFonts w:eastAsiaTheme="minorEastAsia"/>
                <w:sz w:val="24"/>
                <w:szCs w:val="24"/>
                <w:lang w:val="en-US"/>
              </w:rPr>
            </w:pPr>
            <w:r>
              <w:rPr>
                <w:rFonts w:hint="eastAsia" w:ascii="宋体" w:hAnsi="宋体" w:eastAsia="宋体"/>
                <w:sz w:val="24"/>
                <w:szCs w:val="24"/>
                <w:lang w:val="en-US"/>
              </w:rPr>
              <w:t>全院心电网络系统升级</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43"/>
              <w:jc w:val="center"/>
              <w:rPr>
                <w:rFonts w:eastAsiaTheme="minorEastAsia"/>
                <w:sz w:val="24"/>
                <w:szCs w:val="24"/>
              </w:rPr>
            </w:pPr>
            <w:r>
              <w:rPr>
                <w:rFonts w:hint="eastAsia" w:ascii="宋体" w:hAnsi="宋体" w:eastAsia="宋体"/>
                <w:sz w:val="24"/>
                <w:szCs w:val="24"/>
              </w:rPr>
              <w:t>套</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111" w:right="67"/>
              <w:jc w:val="center"/>
              <w:rPr>
                <w:rFonts w:ascii="宋体" w:hAnsi="宋体" w:eastAsia="宋体"/>
                <w:sz w:val="24"/>
                <w:szCs w:val="24"/>
                <w:lang w:val="en-US"/>
              </w:rPr>
            </w:pPr>
            <w:r>
              <w:rPr>
                <w:rFonts w:hint="eastAsia" w:asciiTheme="minorEastAsia" w:hAnsiTheme="minorEastAsia" w:eastAsiaTheme="minorEastAsia"/>
                <w:sz w:val="24"/>
                <w:szCs w:val="24"/>
                <w:lang w:val="en-US"/>
              </w:rPr>
              <w:t>1</w:t>
            </w:r>
          </w:p>
        </w:tc>
        <w:tc>
          <w:tcPr>
            <w:tcW w:w="4998"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39"/>
              <w:rPr>
                <w:rFonts w:eastAsia="宋体"/>
                <w:sz w:val="24"/>
                <w:szCs w:val="24"/>
                <w:lang w:val="en-US"/>
              </w:rPr>
            </w:pPr>
          </w:p>
        </w:tc>
      </w:tr>
    </w:tbl>
    <w:p>
      <w:pPr>
        <w:pStyle w:val="2"/>
        <w:spacing w:before="240" w:beforeLines="100" w:after="240" w:afterLines="100"/>
        <w:ind w:left="0" w:firstLine="480" w:firstLineChars="200"/>
        <w:jc w:val="left"/>
        <w:rPr>
          <w:rFonts w:eastAsia="宋体"/>
          <w:sz w:val="24"/>
          <w:szCs w:val="24"/>
          <w:lang w:val="en-US"/>
        </w:rPr>
      </w:pPr>
      <w:r>
        <w:rPr>
          <w:rFonts w:hint="eastAsia" w:eastAsia="宋体"/>
          <w:sz w:val="24"/>
          <w:szCs w:val="24"/>
          <w:lang w:val="en-US"/>
        </w:rPr>
        <w:t>具体技术参数要求如下：</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心电应用基础服务升级</w:t>
      </w:r>
    </w:p>
    <w:p>
      <w:pPr>
        <w:numPr>
          <w:ilvl w:val="0"/>
          <w:numId w:val="6"/>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系统采用</w:t>
      </w:r>
      <w:r>
        <w:rPr>
          <w:rFonts w:hint="eastAsia" w:ascii="Times New Roman" w:hAnsi="Times New Roman" w:eastAsia="宋体" w:cs="Times New Roman"/>
          <w:kern w:val="2"/>
          <w:sz w:val="24"/>
          <w:szCs w:val="24"/>
          <w:lang w:val="en-US"/>
        </w:rPr>
        <w:t>升级的</w:t>
      </w:r>
      <w:r>
        <w:rPr>
          <w:rFonts w:ascii="Times New Roman" w:hAnsi="Times New Roman" w:eastAsia="宋体" w:cs="Times New Roman"/>
          <w:kern w:val="2"/>
          <w:sz w:val="24"/>
          <w:szCs w:val="24"/>
          <w:lang w:val="en-US"/>
        </w:rPr>
        <w:t>分布式微服务</w:t>
      </w:r>
      <w:r>
        <w:rPr>
          <w:rFonts w:hint="eastAsia" w:ascii="Times New Roman" w:hAnsi="Times New Roman" w:eastAsia="宋体" w:cs="Times New Roman"/>
          <w:kern w:val="2"/>
          <w:sz w:val="24"/>
          <w:szCs w:val="24"/>
          <w:lang w:val="en-US"/>
        </w:rPr>
        <w:t>技术</w:t>
      </w:r>
      <w:r>
        <w:rPr>
          <w:rFonts w:ascii="Times New Roman" w:hAnsi="Times New Roman" w:eastAsia="宋体" w:cs="Times New Roman"/>
          <w:kern w:val="2"/>
          <w:sz w:val="24"/>
          <w:szCs w:val="24"/>
          <w:lang w:val="en-US"/>
        </w:rPr>
        <w:t>架构，</w:t>
      </w:r>
      <w:r>
        <w:rPr>
          <w:rFonts w:hint="eastAsia" w:ascii="Times New Roman" w:hAnsi="Times New Roman" w:eastAsia="宋体" w:cs="Times New Roman"/>
          <w:kern w:val="2"/>
          <w:sz w:val="24"/>
          <w:szCs w:val="24"/>
          <w:lang w:val="en-US"/>
        </w:rPr>
        <w:t>各</w:t>
      </w:r>
      <w:r>
        <w:rPr>
          <w:rFonts w:ascii="Times New Roman" w:hAnsi="Times New Roman" w:eastAsia="宋体" w:cs="Times New Roman"/>
          <w:kern w:val="2"/>
          <w:sz w:val="24"/>
          <w:szCs w:val="24"/>
          <w:lang w:val="en-US"/>
        </w:rPr>
        <w:t>服务之间高度自治</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支持独立部署</w:t>
      </w:r>
      <w:r>
        <w:rPr>
          <w:rFonts w:hint="eastAsia" w:ascii="Times New Roman" w:hAnsi="Times New Roman" w:eastAsia="宋体" w:cs="Times New Roman"/>
          <w:kern w:val="2"/>
          <w:sz w:val="24"/>
          <w:szCs w:val="24"/>
          <w:lang w:val="en-US"/>
        </w:rPr>
        <w:t>或</w:t>
      </w:r>
      <w:r>
        <w:rPr>
          <w:rFonts w:ascii="Times New Roman" w:hAnsi="Times New Roman" w:eastAsia="宋体" w:cs="Times New Roman"/>
          <w:kern w:val="2"/>
          <w:sz w:val="24"/>
          <w:szCs w:val="24"/>
          <w:lang w:val="en-US"/>
        </w:rPr>
        <w:t>集中部署</w:t>
      </w:r>
      <w:r>
        <w:rPr>
          <w:rFonts w:hint="eastAsia" w:ascii="Times New Roman" w:hAnsi="Times New Roman" w:eastAsia="宋体" w:cs="Times New Roman"/>
          <w:kern w:val="2"/>
          <w:sz w:val="24"/>
          <w:szCs w:val="24"/>
          <w:lang w:val="en-US"/>
        </w:rPr>
        <w:t>，满足医院业务高并发的需求。</w:t>
      </w:r>
    </w:p>
    <w:p>
      <w:pPr>
        <w:numPr>
          <w:ilvl w:val="0"/>
          <w:numId w:val="6"/>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数据库</w:t>
      </w:r>
      <w:r>
        <w:rPr>
          <w:rFonts w:hint="eastAsia" w:ascii="Times New Roman" w:hAnsi="Times New Roman" w:eastAsia="宋体" w:cs="Times New Roman"/>
          <w:kern w:val="2"/>
          <w:sz w:val="24"/>
          <w:szCs w:val="24"/>
          <w:lang w:val="en-US"/>
        </w:rPr>
        <w:t>支持</w:t>
      </w:r>
      <w:r>
        <w:rPr>
          <w:rFonts w:ascii="Times New Roman" w:hAnsi="Times New Roman" w:eastAsia="宋体" w:cs="Times New Roman"/>
          <w:kern w:val="2"/>
          <w:sz w:val="24"/>
          <w:szCs w:val="24"/>
          <w:lang w:val="en-US"/>
        </w:rPr>
        <w:t>SQL Server、Mysql等</w:t>
      </w:r>
      <w:r>
        <w:rPr>
          <w:rFonts w:hint="eastAsia" w:ascii="Times New Roman" w:hAnsi="Times New Roman" w:eastAsia="宋体" w:cs="Times New Roman"/>
          <w:kern w:val="2"/>
          <w:sz w:val="24"/>
          <w:szCs w:val="24"/>
          <w:lang w:val="en-US"/>
        </w:rPr>
        <w:t>数据库</w:t>
      </w:r>
      <w:r>
        <w:rPr>
          <w:rFonts w:ascii="Times New Roman" w:hAnsi="Times New Roman" w:eastAsia="宋体" w:cs="Times New Roman"/>
          <w:kern w:val="2"/>
          <w:sz w:val="24"/>
          <w:szCs w:val="24"/>
          <w:lang w:val="en-US"/>
        </w:rPr>
        <w:t>，</w:t>
      </w:r>
      <w:r>
        <w:rPr>
          <w:rFonts w:hint="eastAsia" w:ascii="Times New Roman" w:hAnsi="Times New Roman" w:eastAsia="宋体" w:cs="Times New Roman"/>
          <w:kern w:val="2"/>
          <w:sz w:val="24"/>
          <w:szCs w:val="24"/>
          <w:lang w:val="en-US"/>
        </w:rPr>
        <w:t>采用</w:t>
      </w:r>
      <w:r>
        <w:rPr>
          <w:rFonts w:ascii="Times New Roman" w:hAnsi="Times New Roman" w:eastAsia="宋体" w:cs="Times New Roman"/>
          <w:kern w:val="2"/>
          <w:sz w:val="24"/>
          <w:szCs w:val="24"/>
          <w:lang w:val="en-US"/>
        </w:rPr>
        <w:t>读写分离</w:t>
      </w:r>
      <w:r>
        <w:rPr>
          <w:rFonts w:hint="eastAsia" w:ascii="Times New Roman" w:hAnsi="Times New Roman" w:eastAsia="宋体" w:cs="Times New Roman"/>
          <w:kern w:val="2"/>
          <w:sz w:val="24"/>
          <w:szCs w:val="24"/>
          <w:lang w:val="en-US"/>
        </w:rPr>
        <w:t>模式</w:t>
      </w:r>
      <w:r>
        <w:rPr>
          <w:rFonts w:ascii="Times New Roman" w:hAnsi="Times New Roman" w:eastAsia="宋体" w:cs="Times New Roman"/>
          <w:kern w:val="2"/>
          <w:sz w:val="24"/>
          <w:szCs w:val="24"/>
          <w:lang w:val="en-US"/>
        </w:rPr>
        <w:t>。</w:t>
      </w:r>
    </w:p>
    <w:p>
      <w:pPr>
        <w:numPr>
          <w:ilvl w:val="0"/>
          <w:numId w:val="6"/>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采用热部署方式，</w:t>
      </w:r>
      <w:r>
        <w:rPr>
          <w:rFonts w:hint="eastAsia" w:ascii="Times New Roman" w:hAnsi="Times New Roman" w:eastAsia="宋体" w:cs="Times New Roman"/>
          <w:kern w:val="2"/>
          <w:sz w:val="24"/>
          <w:szCs w:val="24"/>
          <w:lang w:val="en-US"/>
        </w:rPr>
        <w:t>无需</w:t>
      </w:r>
      <w:r>
        <w:rPr>
          <w:rFonts w:ascii="Times New Roman" w:hAnsi="Times New Roman" w:eastAsia="宋体" w:cs="Times New Roman"/>
          <w:kern w:val="2"/>
          <w:sz w:val="24"/>
          <w:szCs w:val="24"/>
          <w:lang w:val="en-US"/>
        </w:rPr>
        <w:t>停止服务器</w:t>
      </w:r>
      <w:r>
        <w:rPr>
          <w:rFonts w:hint="eastAsia" w:ascii="Times New Roman" w:hAnsi="Times New Roman" w:eastAsia="宋体" w:cs="Times New Roman"/>
          <w:kern w:val="2"/>
          <w:sz w:val="24"/>
          <w:szCs w:val="24"/>
          <w:lang w:val="en-US"/>
        </w:rPr>
        <w:t>即可</w:t>
      </w:r>
      <w:r>
        <w:rPr>
          <w:rFonts w:ascii="Times New Roman" w:hAnsi="Times New Roman" w:eastAsia="宋体" w:cs="Times New Roman"/>
          <w:kern w:val="2"/>
          <w:sz w:val="24"/>
          <w:szCs w:val="24"/>
          <w:lang w:val="en-US"/>
        </w:rPr>
        <w:t>实现系统程序升级发布、配置文件更新等功能。</w:t>
      </w:r>
    </w:p>
    <w:p>
      <w:pPr>
        <w:numPr>
          <w:ilvl w:val="0"/>
          <w:numId w:val="6"/>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系统</w:t>
      </w:r>
      <w:r>
        <w:rPr>
          <w:rFonts w:hint="eastAsia" w:ascii="Times New Roman" w:hAnsi="Times New Roman" w:eastAsia="宋体" w:cs="Times New Roman"/>
          <w:kern w:val="2"/>
          <w:sz w:val="24"/>
          <w:szCs w:val="24"/>
          <w:lang w:val="en-US"/>
        </w:rPr>
        <w:t>支持</w:t>
      </w:r>
      <w:r>
        <w:rPr>
          <w:rFonts w:ascii="Times New Roman" w:hAnsi="Times New Roman" w:eastAsia="宋体" w:cs="Times New Roman"/>
          <w:kern w:val="2"/>
          <w:sz w:val="24"/>
          <w:szCs w:val="24"/>
          <w:lang w:val="en-US"/>
        </w:rPr>
        <w:t>C/S</w:t>
      </w:r>
      <w:r>
        <w:rPr>
          <w:rFonts w:hint="eastAsia" w:ascii="Times New Roman" w:hAnsi="Times New Roman" w:eastAsia="宋体" w:cs="Times New Roman"/>
          <w:kern w:val="2"/>
          <w:sz w:val="24"/>
          <w:szCs w:val="24"/>
          <w:lang w:val="en-US"/>
        </w:rPr>
        <w:t>和</w:t>
      </w:r>
      <w:r>
        <w:rPr>
          <w:rFonts w:ascii="Times New Roman" w:hAnsi="Times New Roman" w:eastAsia="宋体" w:cs="Times New Roman"/>
          <w:kern w:val="2"/>
          <w:sz w:val="24"/>
          <w:szCs w:val="24"/>
          <w:lang w:val="en-US"/>
        </w:rPr>
        <w:t>B/S</w:t>
      </w:r>
      <w:r>
        <w:rPr>
          <w:rFonts w:hint="eastAsia" w:ascii="Times New Roman" w:hAnsi="Times New Roman" w:eastAsia="宋体" w:cs="Times New Roman"/>
          <w:kern w:val="2"/>
          <w:sz w:val="24"/>
          <w:szCs w:val="24"/>
          <w:lang w:val="en-US"/>
        </w:rPr>
        <w:t>混合模式</w:t>
      </w:r>
      <w:r>
        <w:rPr>
          <w:rFonts w:ascii="Times New Roman" w:hAnsi="Times New Roman" w:eastAsia="宋体" w:cs="Times New Roman"/>
          <w:kern w:val="2"/>
          <w:sz w:val="24"/>
          <w:szCs w:val="24"/>
          <w:lang w:val="en-US"/>
        </w:rPr>
        <w:t>。</w:t>
      </w:r>
    </w:p>
    <w:p>
      <w:pPr>
        <w:numPr>
          <w:ilvl w:val="0"/>
          <w:numId w:val="6"/>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系统采用业务和管理分离的方式。</w:t>
      </w:r>
      <w:r>
        <w:rPr>
          <w:rFonts w:hint="eastAsia" w:ascii="Times New Roman" w:hAnsi="Times New Roman" w:eastAsia="宋体" w:cs="Times New Roman"/>
          <w:kern w:val="2"/>
          <w:sz w:val="24"/>
          <w:szCs w:val="24"/>
          <w:lang w:val="en-US"/>
        </w:rPr>
        <w:t>在</w:t>
      </w:r>
      <w:r>
        <w:rPr>
          <w:rFonts w:ascii="Times New Roman" w:hAnsi="Times New Roman" w:eastAsia="宋体" w:cs="Times New Roman"/>
          <w:kern w:val="2"/>
          <w:sz w:val="24"/>
          <w:szCs w:val="24"/>
          <w:lang w:val="en-US"/>
        </w:rPr>
        <w:t>业务处理</w:t>
      </w:r>
      <w:r>
        <w:rPr>
          <w:rFonts w:hint="eastAsia" w:ascii="Times New Roman" w:hAnsi="Times New Roman" w:eastAsia="宋体" w:cs="Times New Roman"/>
          <w:kern w:val="2"/>
          <w:sz w:val="24"/>
          <w:szCs w:val="24"/>
          <w:lang w:val="en-US"/>
        </w:rPr>
        <w:t>上，</w:t>
      </w:r>
      <w:r>
        <w:rPr>
          <w:rFonts w:ascii="Times New Roman" w:hAnsi="Times New Roman" w:eastAsia="宋体" w:cs="Times New Roman"/>
          <w:kern w:val="2"/>
          <w:sz w:val="24"/>
          <w:szCs w:val="24"/>
          <w:lang w:val="en-US"/>
        </w:rPr>
        <w:t>提供独立的</w:t>
      </w:r>
      <w:r>
        <w:rPr>
          <w:rFonts w:hint="eastAsia" w:ascii="Times New Roman" w:hAnsi="Times New Roman" w:eastAsia="宋体" w:cs="Times New Roman"/>
          <w:kern w:val="2"/>
          <w:sz w:val="24"/>
          <w:szCs w:val="24"/>
          <w:lang w:val="en-US"/>
        </w:rPr>
        <w:t>医生工作站，供临床处理心电的检查、诊断、数据分析等业务；在管理上，</w:t>
      </w:r>
      <w:r>
        <w:rPr>
          <w:rFonts w:ascii="Times New Roman" w:hAnsi="Times New Roman" w:eastAsia="宋体" w:cs="Times New Roman"/>
          <w:kern w:val="2"/>
          <w:sz w:val="24"/>
          <w:szCs w:val="24"/>
          <w:lang w:val="en-US"/>
        </w:rPr>
        <w:t>提供独立的管理后台，实现对</w:t>
      </w:r>
      <w:r>
        <w:rPr>
          <w:rFonts w:hint="eastAsia" w:ascii="Times New Roman" w:hAnsi="Times New Roman" w:eastAsia="宋体" w:cs="Times New Roman"/>
          <w:kern w:val="2"/>
          <w:sz w:val="24"/>
          <w:szCs w:val="24"/>
          <w:lang w:val="en-US"/>
        </w:rPr>
        <w:t>人员</w:t>
      </w:r>
      <w:r>
        <w:rPr>
          <w:rFonts w:ascii="Times New Roman" w:hAnsi="Times New Roman" w:eastAsia="宋体" w:cs="Times New Roman"/>
          <w:kern w:val="2"/>
          <w:sz w:val="24"/>
          <w:szCs w:val="24"/>
          <w:lang w:val="en-US"/>
        </w:rPr>
        <w:t>、设备</w:t>
      </w:r>
      <w:r>
        <w:rPr>
          <w:rFonts w:hint="eastAsia" w:ascii="Times New Roman" w:hAnsi="Times New Roman" w:eastAsia="宋体" w:cs="Times New Roman"/>
          <w:kern w:val="2"/>
          <w:sz w:val="24"/>
          <w:szCs w:val="24"/>
          <w:lang w:val="en-US"/>
        </w:rPr>
        <w:t>等基础数据</w:t>
      </w:r>
      <w:r>
        <w:rPr>
          <w:rFonts w:ascii="Times New Roman" w:hAnsi="Times New Roman" w:eastAsia="宋体" w:cs="Times New Roman"/>
          <w:kern w:val="2"/>
          <w:sz w:val="24"/>
          <w:szCs w:val="24"/>
          <w:lang w:val="en-US"/>
        </w:rPr>
        <w:t>的统一管理，支持创建、修改、删除、查询各通行证功能</w:t>
      </w:r>
      <w:r>
        <w:rPr>
          <w:rFonts w:hint="eastAsia" w:ascii="Times New Roman" w:hAnsi="Times New Roman" w:eastAsia="宋体" w:cs="Times New Roman"/>
          <w:kern w:val="2"/>
          <w:sz w:val="24"/>
          <w:szCs w:val="24"/>
          <w:lang w:val="en-US"/>
        </w:rPr>
        <w:t>。通过业务口和管理口从物理上分离</w:t>
      </w:r>
      <w:r>
        <w:rPr>
          <w:rFonts w:ascii="Times New Roman" w:hAnsi="Times New Roman" w:eastAsia="宋体" w:cs="Times New Roman"/>
          <w:kern w:val="2"/>
          <w:sz w:val="24"/>
          <w:szCs w:val="24"/>
          <w:lang w:val="en-US"/>
        </w:rPr>
        <w:t>,使业务数据和管理数据相互间不会产生干扰</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提升系统</w:t>
      </w:r>
      <w:r>
        <w:rPr>
          <w:rFonts w:hint="eastAsia" w:ascii="Times New Roman" w:hAnsi="Times New Roman" w:eastAsia="宋体" w:cs="Times New Roman"/>
          <w:kern w:val="2"/>
          <w:sz w:val="24"/>
          <w:szCs w:val="24"/>
          <w:lang w:val="en-US"/>
        </w:rPr>
        <w:t>稳定性和</w:t>
      </w:r>
      <w:r>
        <w:rPr>
          <w:rFonts w:ascii="Times New Roman" w:hAnsi="Times New Roman" w:eastAsia="宋体" w:cs="Times New Roman"/>
          <w:kern w:val="2"/>
          <w:sz w:val="24"/>
          <w:szCs w:val="24"/>
          <w:lang w:val="en-US"/>
        </w:rPr>
        <w:t>可靠性</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提供</w:t>
      </w:r>
      <w:r>
        <w:rPr>
          <w:rFonts w:hint="eastAsia" w:ascii="Times New Roman" w:hAnsi="Times New Roman" w:eastAsia="宋体" w:cs="Times New Roman"/>
          <w:kern w:val="2"/>
          <w:sz w:val="24"/>
          <w:szCs w:val="24"/>
          <w:lang w:val="en-US"/>
        </w:rPr>
        <w:t>证明业务和管理分离的软件功能</w:t>
      </w:r>
      <w:r>
        <w:rPr>
          <w:rFonts w:ascii="Times New Roman" w:hAnsi="Times New Roman" w:eastAsia="宋体" w:cs="Times New Roman"/>
          <w:kern w:val="2"/>
          <w:sz w:val="24"/>
          <w:szCs w:val="24"/>
          <w:lang w:val="en-US"/>
        </w:rPr>
        <w:t>截图</w:t>
      </w:r>
      <w:r>
        <w:rPr>
          <w:rFonts w:hint="eastAsia" w:ascii="Times New Roman" w:hAnsi="Times New Roman" w:eastAsia="宋体" w:cs="Times New Roman"/>
          <w:kern w:val="2"/>
          <w:sz w:val="24"/>
          <w:szCs w:val="24"/>
          <w:lang w:val="en-US"/>
        </w:rPr>
        <w:t>】</w:t>
      </w:r>
    </w:p>
    <w:p>
      <w:pPr>
        <w:numPr>
          <w:ilvl w:val="0"/>
          <w:numId w:val="6"/>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支持心电数据的采集、传输、诊断和数据归档的全流程跟踪管理，通过分布式日志系统、消息队列、调用链跟踪等方式跟踪记录每一份心电报告的生成过程，为功能调试、问题排查、问题定位等提供技术支撑和可靠保障。</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提供心电业务分析及运维监管系统</w:t>
      </w:r>
      <w:r>
        <w:rPr>
          <w:rFonts w:hint="eastAsia" w:ascii="Times New Roman" w:hAnsi="Times New Roman" w:eastAsia="宋体" w:cs="Times New Roman"/>
          <w:kern w:val="2"/>
          <w:sz w:val="24"/>
          <w:szCs w:val="24"/>
          <w:lang w:val="en-US"/>
        </w:rPr>
        <w:t>自主知识产权证明】</w:t>
      </w:r>
    </w:p>
    <w:p>
      <w:pPr>
        <w:numPr>
          <w:ilvl w:val="0"/>
          <w:numId w:val="6"/>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系统安全应符合《信息安全技术信息系统安全等级保护基本要求》。</w:t>
      </w:r>
    </w:p>
    <w:p>
      <w:pPr>
        <w:numPr>
          <w:ilvl w:val="0"/>
          <w:numId w:val="6"/>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系统提供</w:t>
      </w:r>
      <w:r>
        <w:rPr>
          <w:rFonts w:ascii="Times New Roman" w:hAnsi="Times New Roman" w:eastAsia="宋体" w:cs="Times New Roman"/>
          <w:kern w:val="2"/>
          <w:sz w:val="24"/>
          <w:szCs w:val="24"/>
          <w:lang w:val="en-US"/>
        </w:rPr>
        <w:t>接口服务，支持对接第三方信息平台</w:t>
      </w:r>
      <w:r>
        <w:rPr>
          <w:rFonts w:hint="eastAsia" w:ascii="Times New Roman" w:hAnsi="Times New Roman" w:eastAsia="宋体" w:cs="Times New Roman"/>
          <w:kern w:val="2"/>
          <w:sz w:val="24"/>
          <w:szCs w:val="24"/>
          <w:lang w:val="en-US"/>
        </w:rPr>
        <w:t>，支持采用</w:t>
      </w:r>
      <w:r>
        <w:rPr>
          <w:rFonts w:ascii="Times New Roman" w:hAnsi="Times New Roman" w:eastAsia="宋体" w:cs="Times New Roman"/>
          <w:kern w:val="2"/>
          <w:sz w:val="24"/>
          <w:szCs w:val="24"/>
          <w:lang w:val="en-US"/>
        </w:rPr>
        <w:t>视图、存储过程、Webservice、DICOM、HL7等</w:t>
      </w:r>
      <w:r>
        <w:rPr>
          <w:rFonts w:hint="eastAsia" w:ascii="Times New Roman" w:hAnsi="Times New Roman" w:eastAsia="宋体" w:cs="Times New Roman"/>
          <w:kern w:val="2"/>
          <w:sz w:val="24"/>
          <w:szCs w:val="24"/>
          <w:lang w:val="en-US"/>
        </w:rPr>
        <w:t>方式实现接口功能。</w:t>
      </w:r>
    </w:p>
    <w:p>
      <w:pPr>
        <w:numPr>
          <w:ilvl w:val="0"/>
          <w:numId w:val="6"/>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▲系统有经过</w:t>
      </w:r>
      <w:r>
        <w:rPr>
          <w:rFonts w:ascii="Times New Roman" w:hAnsi="Times New Roman" w:eastAsia="宋体" w:cs="Times New Roman"/>
          <w:kern w:val="2"/>
          <w:sz w:val="24"/>
          <w:szCs w:val="24"/>
          <w:lang w:val="en-US"/>
        </w:rPr>
        <w:t>IHE</w:t>
      </w:r>
      <w:r>
        <w:rPr>
          <w:rFonts w:hint="eastAsia" w:ascii="Times New Roman" w:hAnsi="Times New Roman" w:eastAsia="宋体" w:cs="Times New Roman"/>
          <w:kern w:val="2"/>
          <w:sz w:val="24"/>
          <w:szCs w:val="24"/>
          <w:lang w:val="en-US"/>
        </w:rPr>
        <w:t>数字心电诊断系统集成模式和功能角色的专项测试，可以满足与医疗卫生机构信息系统和设备之间的信息互联、互通、集成共享的要求。集成模式至少包含</w:t>
      </w:r>
      <w:r>
        <w:rPr>
          <w:rFonts w:ascii="Times New Roman" w:hAnsi="Times New Roman" w:eastAsia="宋体" w:cs="Times New Roman"/>
          <w:kern w:val="2"/>
          <w:sz w:val="24"/>
          <w:szCs w:val="24"/>
          <w:lang w:val="en-US"/>
        </w:rPr>
        <w:t>REWF</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ECG</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DRPT</w:t>
      </w:r>
      <w:r>
        <w:rPr>
          <w:rFonts w:hint="eastAsia" w:ascii="Times New Roman" w:hAnsi="Times New Roman" w:eastAsia="宋体" w:cs="Times New Roman"/>
          <w:kern w:val="2"/>
          <w:sz w:val="24"/>
          <w:szCs w:val="24"/>
          <w:lang w:val="en-US"/>
        </w:rPr>
        <w:t>等</w:t>
      </w:r>
      <w:r>
        <w:rPr>
          <w:rFonts w:ascii="Times New Roman" w:hAnsi="Times New Roman" w:eastAsia="宋体" w:cs="Times New Roman"/>
          <w:kern w:val="2"/>
          <w:sz w:val="24"/>
          <w:szCs w:val="24"/>
          <w:lang w:val="en-US"/>
        </w:rPr>
        <w:t>3</w:t>
      </w:r>
      <w:r>
        <w:rPr>
          <w:rFonts w:hint="eastAsia" w:ascii="Times New Roman" w:hAnsi="Times New Roman" w:eastAsia="宋体" w:cs="Times New Roman"/>
          <w:kern w:val="2"/>
          <w:sz w:val="24"/>
          <w:szCs w:val="24"/>
          <w:lang w:val="en-US"/>
        </w:rPr>
        <w:t>类，功能角色至少包含</w:t>
      </w:r>
      <w:r>
        <w:rPr>
          <w:rFonts w:ascii="Times New Roman" w:hAnsi="Times New Roman" w:eastAsia="宋体" w:cs="Times New Roman"/>
          <w:kern w:val="2"/>
          <w:sz w:val="24"/>
          <w:szCs w:val="24"/>
          <w:lang w:val="en-US"/>
        </w:rPr>
        <w:t>EC</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ID</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INTEGRATED-ECG-MANAGER</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INFO_SRC</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Integrated Report Manager/Repository</w:t>
      </w:r>
      <w:r>
        <w:rPr>
          <w:rFonts w:hint="eastAsia" w:ascii="Times New Roman" w:hAnsi="Times New Roman" w:eastAsia="宋体" w:cs="Times New Roman"/>
          <w:kern w:val="2"/>
          <w:sz w:val="24"/>
          <w:szCs w:val="24"/>
          <w:lang w:val="en-US"/>
        </w:rPr>
        <w:t>等</w:t>
      </w:r>
      <w:r>
        <w:rPr>
          <w:rFonts w:ascii="Times New Roman" w:hAnsi="Times New Roman" w:eastAsia="宋体" w:cs="Times New Roman"/>
          <w:kern w:val="2"/>
          <w:sz w:val="24"/>
          <w:szCs w:val="24"/>
          <w:lang w:val="en-US"/>
        </w:rPr>
        <w:t>5</w:t>
      </w:r>
      <w:r>
        <w:rPr>
          <w:rFonts w:hint="eastAsia" w:ascii="Times New Roman" w:hAnsi="Times New Roman" w:eastAsia="宋体" w:cs="Times New Roman"/>
          <w:kern w:val="2"/>
          <w:sz w:val="24"/>
          <w:szCs w:val="24"/>
          <w:lang w:val="en-US"/>
        </w:rPr>
        <w:t>种。【提供通过测试的证明文件】。</w:t>
      </w:r>
    </w:p>
    <w:p>
      <w:pPr>
        <w:numPr>
          <w:ilvl w:val="0"/>
          <w:numId w:val="6"/>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系统具有</w:t>
      </w:r>
      <w:r>
        <w:rPr>
          <w:rFonts w:ascii="Times New Roman" w:hAnsi="Times New Roman" w:eastAsia="宋体" w:cs="Times New Roman"/>
          <w:kern w:val="2"/>
          <w:sz w:val="24"/>
          <w:szCs w:val="24"/>
          <w:lang w:val="en-US"/>
        </w:rPr>
        <w:t>自动正时功能，</w:t>
      </w:r>
      <w:r>
        <w:rPr>
          <w:rFonts w:hint="eastAsia" w:ascii="Times New Roman" w:hAnsi="Times New Roman" w:eastAsia="宋体" w:cs="Times New Roman"/>
          <w:kern w:val="2"/>
          <w:sz w:val="24"/>
          <w:szCs w:val="24"/>
          <w:lang w:val="en-US"/>
        </w:rPr>
        <w:t>支持与医院时间服务器同步，实现</w:t>
      </w:r>
      <w:r>
        <w:rPr>
          <w:rFonts w:ascii="Times New Roman" w:hAnsi="Times New Roman" w:eastAsia="宋体" w:cs="Times New Roman"/>
          <w:kern w:val="2"/>
          <w:sz w:val="24"/>
          <w:szCs w:val="24"/>
          <w:lang w:val="en-US"/>
        </w:rPr>
        <w:t>联网心电图机、工作站时间</w:t>
      </w:r>
      <w:r>
        <w:rPr>
          <w:rFonts w:hint="eastAsia" w:ascii="Times New Roman" w:hAnsi="Times New Roman" w:eastAsia="宋体" w:cs="Times New Roman"/>
          <w:kern w:val="2"/>
          <w:sz w:val="24"/>
          <w:szCs w:val="24"/>
          <w:lang w:val="en-US"/>
        </w:rPr>
        <w:t>统一</w:t>
      </w:r>
      <w:r>
        <w:rPr>
          <w:rFonts w:ascii="Times New Roman" w:hAnsi="Times New Roman" w:eastAsia="宋体" w:cs="Times New Roman"/>
          <w:kern w:val="2"/>
          <w:sz w:val="24"/>
          <w:szCs w:val="24"/>
          <w:lang w:val="en-US"/>
        </w:rPr>
        <w:t>。</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预约管理与排队叫号升级</w:t>
      </w:r>
    </w:p>
    <w:p>
      <w:pPr>
        <w:numPr>
          <w:ilvl w:val="0"/>
          <w:numId w:val="7"/>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支持检查诊室管理功能，包括新建、修改、删除。</w:t>
      </w:r>
    </w:p>
    <w:p>
      <w:pPr>
        <w:numPr>
          <w:ilvl w:val="0"/>
          <w:numId w:val="7"/>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支持设置预约时段、关联诊室，每个预约时段可限制人数；支持一个诊室对应多个检查项目，支持一个检查项目多个诊室检查。</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支持</w:t>
      </w:r>
      <w:r>
        <w:rPr>
          <w:rFonts w:hint="eastAsia" w:ascii="Times New Roman" w:hAnsi="Times New Roman" w:eastAsia="宋体" w:cs="Times New Roman"/>
          <w:kern w:val="2"/>
          <w:sz w:val="24"/>
          <w:szCs w:val="24"/>
          <w:lang w:val="en-US"/>
        </w:rPr>
        <w:t>静息心电、动态心电、动态血压、电生理等</w:t>
      </w:r>
      <w:r>
        <w:rPr>
          <w:rFonts w:ascii="Times New Roman" w:hAnsi="Times New Roman" w:eastAsia="宋体" w:cs="Times New Roman"/>
          <w:kern w:val="2"/>
          <w:sz w:val="24"/>
          <w:szCs w:val="24"/>
          <w:lang w:val="en-US"/>
        </w:rPr>
        <w:t>多种业务类型统一预约</w:t>
      </w:r>
      <w:r>
        <w:rPr>
          <w:rFonts w:hint="eastAsia" w:ascii="Times New Roman" w:hAnsi="Times New Roman" w:eastAsia="宋体" w:cs="Times New Roman"/>
          <w:kern w:val="2"/>
          <w:sz w:val="24"/>
          <w:szCs w:val="24"/>
          <w:lang w:val="en-US"/>
        </w:rPr>
        <w:t>。</w:t>
      </w:r>
    </w:p>
    <w:p>
      <w:pPr>
        <w:numPr>
          <w:ilvl w:val="0"/>
          <w:numId w:val="7"/>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检查医生通过</w:t>
      </w:r>
      <w:r>
        <w:rPr>
          <w:rFonts w:ascii="Times New Roman" w:hAnsi="Times New Roman" w:eastAsia="宋体" w:cs="Times New Roman"/>
          <w:kern w:val="2"/>
          <w:sz w:val="24"/>
          <w:szCs w:val="24"/>
          <w:lang w:val="en-US"/>
        </w:rPr>
        <w:t>HIS接口获得申请单进行登记和预约，并生成排队号的条形码，患者按照排队号在检查室等待检查。</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可手动创建、扫码、读卡、输入卡号、下载预约</w:t>
      </w:r>
      <w:r>
        <w:rPr>
          <w:rFonts w:hint="eastAsia" w:ascii="Times New Roman" w:hAnsi="Times New Roman" w:eastAsia="宋体" w:cs="Times New Roman"/>
          <w:kern w:val="2"/>
          <w:sz w:val="24"/>
          <w:szCs w:val="24"/>
          <w:lang w:val="en-US"/>
        </w:rPr>
        <w:t>记</w:t>
      </w:r>
      <w:r>
        <w:rPr>
          <w:rFonts w:ascii="Times New Roman" w:hAnsi="Times New Roman" w:eastAsia="宋体" w:cs="Times New Roman"/>
          <w:kern w:val="2"/>
          <w:sz w:val="24"/>
          <w:szCs w:val="24"/>
          <w:lang w:val="en-US"/>
        </w:rPr>
        <w:t>录获取检查患者</w:t>
      </w:r>
      <w:r>
        <w:rPr>
          <w:rFonts w:hint="eastAsia" w:ascii="Times New Roman" w:hAnsi="Times New Roman" w:eastAsia="宋体" w:cs="Times New Roman"/>
          <w:kern w:val="2"/>
          <w:sz w:val="24"/>
          <w:szCs w:val="24"/>
          <w:lang w:val="en-US"/>
        </w:rPr>
        <w:t>。</w:t>
      </w:r>
    </w:p>
    <w:p>
      <w:pPr>
        <w:numPr>
          <w:ilvl w:val="0"/>
          <w:numId w:val="7"/>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在预约列表中，支持新建、修改、删除、加急、激活等功能。</w:t>
      </w:r>
    </w:p>
    <w:p>
      <w:pPr>
        <w:numPr>
          <w:ilvl w:val="0"/>
          <w:numId w:val="7"/>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支持选择检查项目，支持填写主诉、临床诊断、既往病史等信息。</w:t>
      </w:r>
    </w:p>
    <w:p>
      <w:pPr>
        <w:numPr>
          <w:ilvl w:val="0"/>
          <w:numId w:val="7"/>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支持手动选择或</w:t>
      </w:r>
      <w:r>
        <w:rPr>
          <w:rFonts w:ascii="Times New Roman" w:hAnsi="Times New Roman" w:eastAsia="宋体" w:cs="Times New Roman"/>
          <w:kern w:val="2"/>
          <w:sz w:val="24"/>
          <w:szCs w:val="24"/>
          <w:lang w:val="en-US"/>
        </w:rPr>
        <w:t>自动匹配检查诊室和检查时段</w:t>
      </w:r>
      <w:r>
        <w:rPr>
          <w:rFonts w:hint="eastAsia" w:ascii="Times New Roman" w:hAnsi="Times New Roman" w:eastAsia="宋体" w:cs="Times New Roman"/>
          <w:kern w:val="2"/>
          <w:sz w:val="24"/>
          <w:szCs w:val="24"/>
          <w:lang w:val="en-US"/>
        </w:rPr>
        <w:t>。</w:t>
      </w:r>
    </w:p>
    <w:p>
      <w:pPr>
        <w:numPr>
          <w:ilvl w:val="0"/>
          <w:numId w:val="7"/>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具有</w:t>
      </w:r>
      <w:r>
        <w:rPr>
          <w:rFonts w:ascii="Times New Roman" w:hAnsi="Times New Roman" w:eastAsia="宋体" w:cs="Times New Roman"/>
          <w:kern w:val="2"/>
          <w:sz w:val="24"/>
          <w:szCs w:val="24"/>
          <w:lang w:val="en-US"/>
        </w:rPr>
        <w:t>时段预约已满智能提醒</w:t>
      </w:r>
      <w:r>
        <w:rPr>
          <w:rFonts w:hint="eastAsia" w:ascii="Times New Roman" w:hAnsi="Times New Roman" w:eastAsia="宋体" w:cs="Times New Roman"/>
          <w:kern w:val="2"/>
          <w:sz w:val="24"/>
          <w:szCs w:val="24"/>
          <w:lang w:val="en-US"/>
        </w:rPr>
        <w:t>功能。</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支持预约登记患者更换诊室、加急、激活、打印预约单</w:t>
      </w:r>
      <w:r>
        <w:rPr>
          <w:rFonts w:hint="eastAsia" w:ascii="Times New Roman" w:hAnsi="Times New Roman" w:eastAsia="宋体" w:cs="Times New Roman"/>
          <w:kern w:val="2"/>
          <w:sz w:val="24"/>
          <w:szCs w:val="24"/>
          <w:lang w:val="en-US"/>
        </w:rPr>
        <w:t>。</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支持呼叫、检查、过号、重呼、激活等功能</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支持查看已叫号、候诊中、过号和已检查各状态下的受检者</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支持大屏展示排队叫号信息，方便受检者在候诊大厅的大屏随时掌握自己的就诊动态</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依序叫号，系统会自动语音呼叫，并在叫号屏上显示</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支持自定义大屏模板样式，配置显示内容，包括叫号队列、候诊队列、过号队列、姓名、排队号、检查诊室、检查项目等内容配置显示</w:t>
      </w:r>
      <w:r>
        <w:rPr>
          <w:rFonts w:hint="eastAsia" w:ascii="Times New Roman" w:hAnsi="Times New Roman" w:eastAsia="宋体" w:cs="Times New Roman"/>
          <w:kern w:val="2"/>
          <w:sz w:val="24"/>
          <w:szCs w:val="24"/>
          <w:lang w:val="en-US"/>
        </w:rPr>
        <w:t>。</w:t>
      </w:r>
    </w:p>
    <w:p>
      <w:pPr>
        <w:numPr>
          <w:ilvl w:val="0"/>
          <w:numId w:val="7"/>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支持多语言播报</w:t>
      </w:r>
      <w:r>
        <w:rPr>
          <w:rFonts w:hint="eastAsia" w:ascii="Times New Roman" w:hAnsi="Times New Roman" w:eastAsia="宋体" w:cs="Times New Roman"/>
          <w:kern w:val="2"/>
          <w:sz w:val="24"/>
          <w:szCs w:val="24"/>
          <w:lang w:val="en-US"/>
        </w:rPr>
        <w:t>。</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检查管理升级</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系统支持连接第三方心电图机完成受检者的心电检查。支持解析hl7、mfer、scp、fda-xml、dicom、anb、dat、ecg、eco、ekg等第三方心电图机数据格式并以统一的格式进行存储。</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支持针对门诊（固定检查）、病房（移动检查）等不同的检查场景，按照所接设备类型，可以提供不同的设备接入和改造方案。满足不同场景下的设备接入和采集需求。</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具备网络传输功能的心电图机，数据采集完成后可通过无线或有线方式直接发送至心电中心服务器，由诊断中心进行集中诊断。</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支持对不具备网络传输功能的心电图机进行数字化改造，可兼容不同品牌型号的心电图机、采集盒以及其他检查设备。</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移动场景下，支持第三方心电图机先离线采集再集中上传，无需借助PC、平板等即可通过网络直传诊断中心。</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固定场景下，支持将现有心电设备直接连接电脑来实现心电数据接收，支持手动创建、扫码、读卡、输入卡号、下载预约记录等多种方式获取检查信息，支持设置加急和隐私患者处理。</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 xml:space="preserve">支持配置检查模式，可选常规十二导、常规十五导、常规十八导、心向量、心率变异、QT离散度、频谱心电、阿托品等。 </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▲支持采集质量检测，在心电检查过程中实时提醒采集质量是否合格，伪差、导联脱落、左右手接反等实时提醒。【提供伪差、导联脱落、左右手接反实时提醒功能证明】</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支持图谱采集完成后预览，支持加采、重采功能；</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采集完成后支持自动分析危急值，分析结果包括以下几种类型：危急、阳性、正常、采集不良、未分析。</w:t>
      </w:r>
    </w:p>
    <w:p>
      <w:pPr>
        <w:numPr>
          <w:ilvl w:val="0"/>
          <w:numId w:val="8"/>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支持为严重病人申请加急诊断，加急的报告列表有加急的状态标记。</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医生工作站升级</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为满足医院业务发展需要，医生工作站升级提供静息心电、动态心电、动态血压综合分析功能：一套软件即可以进行静息心电、动态心电、动态血压三种检查的分析会诊工作，支持具有对应检查特点的专业分析工具。【提供功能界面截图及静息动态心电血压综合分析系统自主知识产权证明】</w:t>
      </w:r>
    </w:p>
    <w:p>
      <w:pPr>
        <w:spacing w:line="360" w:lineRule="auto"/>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静息心电分析：</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心电图诊断报告系统具备权限管理功能，给不同的医生进行权限配置。</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接收到远程诊断申请后，系统支持后台预分析，对于系统已经判断出存在危险情况的病人标明危急，在客户端、</w:t>
      </w:r>
      <w:r>
        <w:rPr>
          <w:rFonts w:ascii="Times New Roman" w:hAnsi="Times New Roman" w:eastAsia="宋体" w:cs="Times New Roman"/>
          <w:kern w:val="2"/>
          <w:sz w:val="24"/>
          <w:szCs w:val="24"/>
          <w:lang w:val="en-US"/>
        </w:rPr>
        <w:t>web端、移动端以弹窗、消息等多种方式向诊断医生</w:t>
      </w:r>
      <w:r>
        <w:rPr>
          <w:rFonts w:hint="eastAsia" w:ascii="Times New Roman" w:hAnsi="Times New Roman" w:eastAsia="宋体" w:cs="Times New Roman"/>
          <w:kern w:val="2"/>
          <w:sz w:val="24"/>
          <w:szCs w:val="24"/>
          <w:lang w:val="en-US"/>
        </w:rPr>
        <w:t>预警</w:t>
      </w:r>
      <w:r>
        <w:rPr>
          <w:rFonts w:ascii="Times New Roman" w:hAnsi="Times New Roman" w:eastAsia="宋体" w:cs="Times New Roman"/>
          <w:kern w:val="2"/>
          <w:sz w:val="24"/>
          <w:szCs w:val="24"/>
          <w:lang w:val="en-US"/>
        </w:rPr>
        <w:t>。</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支持诊断医生对不符合要求的图谱进行退回、加采、重采等操作；支持退回加采/重采报告加注原因。</w:t>
      </w:r>
    </w:p>
    <w:p>
      <w:pPr>
        <w:numPr>
          <w:ilvl w:val="0"/>
          <w:numId w:val="9"/>
        </w:numPr>
        <w:spacing w:line="360" w:lineRule="auto"/>
        <w:rPr>
          <w:rFonts w:ascii="Times New Roman" w:hAnsi="Times New Roman" w:eastAsia="宋体" w:cs="Times New Roman"/>
          <w:kern w:val="2"/>
          <w:sz w:val="24"/>
          <w:szCs w:val="24"/>
          <w:lang w:val="en-US"/>
        </w:rPr>
      </w:pPr>
      <w:bookmarkStart w:id="0" w:name="_Hlk99014806"/>
      <w:r>
        <w:rPr>
          <w:rFonts w:hint="eastAsia" w:ascii="Times New Roman" w:hAnsi="Times New Roman" w:eastAsia="宋体" w:cs="Times New Roman"/>
          <w:kern w:val="2"/>
          <w:sz w:val="24"/>
          <w:szCs w:val="24"/>
          <w:lang w:val="en-US"/>
        </w:rPr>
        <w:t>系统支持设置强制审核模式，设置为强制审核模式的报告必须进行双签之后才能发布，以满足医院多业务形态的需要。</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为提高医生工作效率，系统支持同屏显示报告列表和看图界面。可直接在看图页中查看列表数据，无需在列表页和详情页中来回切换。</w:t>
      </w:r>
    </w:p>
    <w:bookmarkEnd w:id="0"/>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支持导联布局、走速、增益、滤波调整等操作</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支持查看图谱波形展示方式切换，可使用同步导联或连续导联模式展示</w:t>
      </w:r>
      <w:r>
        <w:rPr>
          <w:rFonts w:ascii="Times New Roman" w:hAnsi="Times New Roman" w:eastAsia="宋体" w:cs="Times New Roman"/>
          <w:kern w:val="2"/>
          <w:sz w:val="24"/>
          <w:szCs w:val="24"/>
          <w:lang w:val="en-US"/>
        </w:rPr>
        <w:t>,支持查看图谱总时长。</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支持在图谱上通过测量工具测量某段波形的电压值、心率和间期测值。</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支持心搏放大功能，通过心搏放大查看某个心搏，调整波形形态识别后重新发送测值。</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系统具备并行分规功能。</w:t>
      </w:r>
    </w:p>
    <w:p>
      <w:pPr>
        <w:numPr>
          <w:ilvl w:val="0"/>
          <w:numId w:val="9"/>
        </w:numPr>
        <w:spacing w:line="360" w:lineRule="auto"/>
        <w:rPr>
          <w:rFonts w:ascii="Times New Roman" w:hAnsi="Times New Roman" w:eastAsia="宋体" w:cs="Times New Roman"/>
          <w:kern w:val="2"/>
          <w:sz w:val="24"/>
          <w:szCs w:val="24"/>
          <w:lang w:val="en-US"/>
        </w:rPr>
      </w:pPr>
      <w:bookmarkStart w:id="1" w:name="_Hlk99014821"/>
      <w:r>
        <w:rPr>
          <w:rFonts w:hint="eastAsia" w:ascii="Times New Roman" w:hAnsi="Times New Roman" w:eastAsia="宋体" w:cs="Times New Roman"/>
          <w:kern w:val="2"/>
          <w:sz w:val="24"/>
          <w:szCs w:val="24"/>
          <w:lang w:val="en-US"/>
        </w:rPr>
        <w:t>支持在心电图波形区域的异常位置做标记，提供图像注释说明记录。</w:t>
      </w:r>
    </w:p>
    <w:bookmarkEnd w:id="1"/>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支持组合导联功能：使用十二导设备采集两份十二导数据合并为十八导数据，满足附加导联的检查要求。</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▲提供典型病例收藏功能，支持医生自定义收藏分类，为医生后期培训和进行科研提供素材。【提供典型库收藏管理系统自主知识产权证明文件】</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支持导联纠错功能，在肢体导联接反或胸导联接错的情况下，可以通过软件直接修正，无需重新采集。</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支持漏诊提示，对心电图因显示分辨率问题导致的可能被疏忽的细节异常进行提示，防止造成漏诊。</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支持图谱对比功能，支持将</w:t>
      </w:r>
      <w:r>
        <w:rPr>
          <w:rFonts w:ascii="Times New Roman" w:hAnsi="Times New Roman" w:eastAsia="宋体" w:cs="Times New Roman"/>
          <w:kern w:val="2"/>
          <w:sz w:val="24"/>
          <w:szCs w:val="24"/>
          <w:lang w:val="en-US"/>
        </w:rPr>
        <w:t>5份</w:t>
      </w:r>
      <w:r>
        <w:rPr>
          <w:rFonts w:hint="eastAsia" w:ascii="Times New Roman" w:hAnsi="Times New Roman" w:eastAsia="宋体" w:cs="Times New Roman"/>
          <w:kern w:val="2"/>
          <w:sz w:val="24"/>
          <w:szCs w:val="24"/>
          <w:lang w:val="en-US"/>
        </w:rPr>
        <w:t>及</w:t>
      </w:r>
      <w:r>
        <w:rPr>
          <w:rFonts w:ascii="Times New Roman" w:hAnsi="Times New Roman" w:eastAsia="宋体" w:cs="Times New Roman"/>
          <w:kern w:val="2"/>
          <w:sz w:val="24"/>
          <w:szCs w:val="24"/>
          <w:lang w:val="en-US"/>
        </w:rPr>
        <w:t>以上历史报告加入对比，可引用对比报告的诊断结论。</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支持叠加波分析，可对所有导联心搏进行叠加趋势分析。</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支持测值超过正常范围，显示成红色，且测值有最大和最小值限制。</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支持测值根据词条联动，如死亡心电图/无心电活动：所有测值置“/”，房颤：房率、P波时限、PR间期、P电轴置“/”，房扑：P波时限、PR间期、P电轴置“/”。</w:t>
      </w:r>
    </w:p>
    <w:p>
      <w:pPr>
        <w:numPr>
          <w:ilvl w:val="0"/>
          <w:numId w:val="9"/>
        </w:numPr>
        <w:spacing w:line="360" w:lineRule="auto"/>
        <w:rPr>
          <w:rFonts w:ascii="Times New Roman" w:hAnsi="Times New Roman" w:eastAsia="宋体" w:cs="Times New Roman"/>
          <w:kern w:val="2"/>
          <w:sz w:val="24"/>
          <w:szCs w:val="24"/>
          <w:lang w:val="en-US"/>
        </w:rPr>
      </w:pPr>
      <w:bookmarkStart w:id="2" w:name="_Hlk99014828"/>
      <w:r>
        <w:rPr>
          <w:rFonts w:hint="eastAsia" w:ascii="Times New Roman" w:hAnsi="Times New Roman" w:eastAsia="宋体" w:cs="Times New Roman"/>
          <w:kern w:val="2"/>
          <w:sz w:val="24"/>
          <w:szCs w:val="24"/>
          <w:lang w:val="en-US"/>
        </w:rPr>
        <w:t xml:space="preserve">支持胸痛加急功能，诊断界面有胸痛加急按钮，点击之后有胸痛加急的提示弹窗并可将检查完成消息推送到手机微信端。 </w:t>
      </w:r>
    </w:p>
    <w:bookmarkEnd w:id="2"/>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▲提供标准的心电图诊断词条，辅助医生快速进行报告编辑，在编辑过程中支持词条模糊查询及词条与测值的联动。【提供心电专家智库系统自主知识产权证明】</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支持S</w:t>
      </w:r>
      <w:r>
        <w:rPr>
          <w:rFonts w:ascii="Times New Roman" w:hAnsi="Times New Roman" w:eastAsia="宋体" w:cs="Times New Roman"/>
          <w:kern w:val="2"/>
          <w:sz w:val="24"/>
          <w:szCs w:val="24"/>
          <w:lang w:val="en-US"/>
        </w:rPr>
        <w:t>T M</w:t>
      </w:r>
      <w:r>
        <w:rPr>
          <w:rFonts w:hint="eastAsia" w:ascii="Times New Roman" w:hAnsi="Times New Roman" w:eastAsia="宋体" w:cs="Times New Roman"/>
          <w:kern w:val="2"/>
          <w:sz w:val="24"/>
          <w:szCs w:val="24"/>
          <w:lang w:val="en-US"/>
        </w:rPr>
        <w:t xml:space="preserve">ap功能。 </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▲支持梯形图生成技术。【提供</w:t>
      </w:r>
      <w:r>
        <w:rPr>
          <w:rFonts w:ascii="Times New Roman" w:hAnsi="Times New Roman" w:eastAsia="宋体" w:cs="Times New Roman"/>
          <w:kern w:val="2"/>
          <w:sz w:val="24"/>
          <w:szCs w:val="24"/>
          <w:lang w:val="en-US"/>
        </w:rPr>
        <w:t>梯形图功能经</w:t>
      </w:r>
      <w:r>
        <w:rPr>
          <w:rFonts w:hint="eastAsia" w:ascii="Times New Roman" w:hAnsi="Times New Roman" w:eastAsia="宋体" w:cs="Times New Roman"/>
          <w:kern w:val="2"/>
          <w:sz w:val="24"/>
          <w:szCs w:val="24"/>
          <w:lang w:val="en-US"/>
        </w:rPr>
        <w:t>药监局</w:t>
      </w:r>
      <w:r>
        <w:rPr>
          <w:rFonts w:ascii="Times New Roman" w:hAnsi="Times New Roman" w:eastAsia="宋体" w:cs="Times New Roman"/>
          <w:kern w:val="2"/>
          <w:sz w:val="24"/>
          <w:szCs w:val="24"/>
          <w:lang w:val="en-US"/>
        </w:rPr>
        <w:t>注册</w:t>
      </w:r>
      <w:r>
        <w:rPr>
          <w:rFonts w:hint="eastAsia" w:ascii="Times New Roman" w:hAnsi="Times New Roman" w:eastAsia="宋体" w:cs="Times New Roman"/>
          <w:kern w:val="2"/>
          <w:sz w:val="24"/>
          <w:szCs w:val="24"/>
          <w:lang w:val="en-US"/>
        </w:rPr>
        <w:t>检验的</w:t>
      </w:r>
      <w:r>
        <w:rPr>
          <w:rFonts w:ascii="Times New Roman" w:hAnsi="Times New Roman" w:eastAsia="宋体" w:cs="Times New Roman"/>
          <w:kern w:val="2"/>
          <w:sz w:val="24"/>
          <w:szCs w:val="24"/>
          <w:lang w:val="en-US"/>
        </w:rPr>
        <w:t>证明】</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支持频谱心电、高频心电、</w:t>
      </w:r>
      <w:r>
        <w:rPr>
          <w:rFonts w:ascii="Times New Roman" w:hAnsi="Times New Roman" w:eastAsia="宋体" w:cs="Times New Roman"/>
          <w:kern w:val="2"/>
          <w:sz w:val="24"/>
          <w:szCs w:val="24"/>
          <w:lang w:val="en-US"/>
        </w:rPr>
        <w:t>QT离散度、心电向量、心室晚电位、心率变异等分析功能。</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▲支持阿托品等药物试验功能，可显示药物试验条件下的数据、绘制心率变化曲线以及导联波形。【提供阿托品药物试验功能</w:t>
      </w:r>
      <w:r>
        <w:rPr>
          <w:rFonts w:ascii="Times New Roman" w:hAnsi="Times New Roman" w:eastAsia="宋体" w:cs="Times New Roman"/>
          <w:kern w:val="2"/>
          <w:sz w:val="24"/>
          <w:szCs w:val="24"/>
          <w:lang w:val="en-US"/>
        </w:rPr>
        <w:t>经</w:t>
      </w:r>
      <w:r>
        <w:rPr>
          <w:rFonts w:hint="eastAsia" w:ascii="Times New Roman" w:hAnsi="Times New Roman" w:eastAsia="宋体" w:cs="Times New Roman"/>
          <w:kern w:val="2"/>
          <w:sz w:val="24"/>
          <w:szCs w:val="24"/>
          <w:lang w:val="en-US"/>
        </w:rPr>
        <w:t>药监局</w:t>
      </w:r>
      <w:r>
        <w:rPr>
          <w:rFonts w:ascii="Times New Roman" w:hAnsi="Times New Roman" w:eastAsia="宋体" w:cs="Times New Roman"/>
          <w:kern w:val="2"/>
          <w:sz w:val="24"/>
          <w:szCs w:val="24"/>
          <w:lang w:val="en-US"/>
        </w:rPr>
        <w:t>注册</w:t>
      </w:r>
      <w:r>
        <w:rPr>
          <w:rFonts w:hint="eastAsia" w:ascii="Times New Roman" w:hAnsi="Times New Roman" w:eastAsia="宋体" w:cs="Times New Roman"/>
          <w:kern w:val="2"/>
          <w:sz w:val="24"/>
          <w:szCs w:val="24"/>
          <w:lang w:val="en-US"/>
        </w:rPr>
        <w:t>检验的</w:t>
      </w:r>
      <w:r>
        <w:rPr>
          <w:rFonts w:ascii="Times New Roman" w:hAnsi="Times New Roman" w:eastAsia="宋体" w:cs="Times New Roman"/>
          <w:kern w:val="2"/>
          <w:sz w:val="24"/>
          <w:szCs w:val="24"/>
          <w:lang w:val="en-US"/>
        </w:rPr>
        <w:t>证明】</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支持心电自动诊断技术，对心电报告进行自动化分析和诊断，辅助诊断医生进行报告诊断，提高诊断效率和质量。</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可依据自动诊断结果提供危急值预警功能，通过微信等方式自动推送到相关人员手机上，提醒医护人员及时关注危急心电图。</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客户端、</w:t>
      </w:r>
      <w:r>
        <w:rPr>
          <w:rFonts w:ascii="Times New Roman" w:hAnsi="Times New Roman" w:eastAsia="宋体" w:cs="Times New Roman"/>
          <w:kern w:val="2"/>
          <w:sz w:val="24"/>
          <w:szCs w:val="24"/>
          <w:lang w:val="en-US"/>
        </w:rPr>
        <w:t>Web端、移动端支持自动诊断分析结论，可手动选择是否引用自动诊断结论。</w:t>
      </w:r>
    </w:p>
    <w:p>
      <w:pPr>
        <w:numPr>
          <w:ilvl w:val="0"/>
          <w:numId w:val="9"/>
        </w:numPr>
        <w:spacing w:line="360" w:lineRule="auto"/>
        <w:rPr>
          <w:rFonts w:ascii="Times New Roman" w:hAnsi="Times New Roman" w:eastAsia="宋体" w:cs="Times New Roman"/>
          <w:kern w:val="2"/>
          <w:sz w:val="24"/>
          <w:szCs w:val="24"/>
          <w:lang w:val="en-US"/>
        </w:rPr>
      </w:pPr>
      <w:bookmarkStart w:id="3" w:name="_Hlk99014836"/>
      <w:r>
        <w:rPr>
          <w:rFonts w:hint="eastAsia" w:ascii="Times New Roman" w:hAnsi="Times New Roman" w:eastAsia="宋体" w:cs="Times New Roman"/>
          <w:kern w:val="2"/>
          <w:sz w:val="24"/>
          <w:szCs w:val="24"/>
          <w:lang w:val="en-US"/>
        </w:rPr>
        <w:t>▲支持在诊断界面将心电图原始数据生成二维码，并通过手机端微信小程序进行扫码查看、诊断和分享，通过手机扫码方式实现内网到外网的数据传输，物理隔离保障网络安全。【需提供软件界面截图证明及承诺函，并在项目中标后3个自然日内根据采购人指定地点进行功能演示】</w:t>
      </w:r>
    </w:p>
    <w:bookmarkEnd w:id="3"/>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为保护受检者信息安全，报告分享支持脱敏显示。</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支持修改系统名称及系统logo，实现个性化订制。</w:t>
      </w:r>
    </w:p>
    <w:p>
      <w:pPr>
        <w:spacing w:line="360" w:lineRule="auto"/>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动态心电分析：</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提供多种动态分析工具：K线图、直方图、散点图、栅栏图、诊断图、波形全览图等功能。</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▲动态心电具备自动分析功能。【需要提供经药监局注册检验的证明资料】</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▲自动分析功能自动识别心搏类型包括正常（N）、房早（S）、室早（V）、房颤（Af）、起搏（P）和伪差（X）；用户可以手动标记和修改心搏。【需要提供经药监局注册检验的证明资料】</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w:t>
      </w:r>
      <w:r>
        <w:rPr>
          <w:rFonts w:ascii="Times New Roman" w:hAnsi="Times New Roman" w:eastAsia="宋体" w:cs="Times New Roman"/>
          <w:kern w:val="2"/>
          <w:sz w:val="24"/>
          <w:szCs w:val="24"/>
          <w:lang w:val="en-US"/>
        </w:rPr>
        <w:t>P</w:t>
      </w:r>
      <w:r>
        <w:rPr>
          <w:rFonts w:hint="eastAsia" w:ascii="Times New Roman" w:hAnsi="Times New Roman" w:eastAsia="宋体" w:cs="Times New Roman"/>
          <w:kern w:val="2"/>
          <w:sz w:val="24"/>
          <w:szCs w:val="24"/>
          <w:lang w:val="en-US"/>
        </w:rPr>
        <w:t>波反混淆快速区分</w:t>
      </w:r>
      <w:r>
        <w:rPr>
          <w:rFonts w:ascii="Times New Roman" w:hAnsi="Times New Roman" w:eastAsia="宋体" w:cs="Times New Roman"/>
          <w:kern w:val="2"/>
          <w:sz w:val="24"/>
          <w:szCs w:val="24"/>
          <w:lang w:val="en-US"/>
        </w:rPr>
        <w:t>P</w:t>
      </w:r>
      <w:r>
        <w:rPr>
          <w:rFonts w:hint="eastAsia" w:ascii="Times New Roman" w:hAnsi="Times New Roman" w:eastAsia="宋体" w:cs="Times New Roman"/>
          <w:kern w:val="2"/>
          <w:sz w:val="24"/>
          <w:szCs w:val="24"/>
          <w:lang w:val="en-US"/>
        </w:rPr>
        <w:t>波形态差异心搏；</w:t>
      </w:r>
      <w:r>
        <w:rPr>
          <w:rFonts w:ascii="Times New Roman" w:hAnsi="Times New Roman" w:eastAsia="宋体" w:cs="Times New Roman"/>
          <w:kern w:val="2"/>
          <w:sz w:val="24"/>
          <w:szCs w:val="24"/>
          <w:lang w:val="en-US"/>
        </w:rPr>
        <w:t xml:space="preserve"> </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动态心电支持模板分析，并可按照提前量、代偿间隙、</w:t>
      </w:r>
      <w:r>
        <w:rPr>
          <w:rFonts w:ascii="Times New Roman" w:hAnsi="Times New Roman" w:eastAsia="宋体" w:cs="Times New Roman"/>
          <w:kern w:val="2"/>
          <w:sz w:val="24"/>
          <w:szCs w:val="24"/>
          <w:lang w:val="en-US"/>
        </w:rPr>
        <w:t>QRS</w:t>
      </w:r>
      <w:r>
        <w:rPr>
          <w:rFonts w:hint="eastAsia" w:ascii="Times New Roman" w:hAnsi="Times New Roman" w:eastAsia="宋体" w:cs="Times New Roman"/>
          <w:kern w:val="2"/>
          <w:sz w:val="24"/>
          <w:szCs w:val="24"/>
          <w:lang w:val="en-US"/>
        </w:rPr>
        <w:t>面积、宽度等方式排序</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组合散点图，通过每个心搏的特征选择相应的心搏参数（心搏可选提前量、</w:t>
      </w:r>
      <w:r>
        <w:rPr>
          <w:rFonts w:ascii="Times New Roman" w:hAnsi="Times New Roman" w:eastAsia="宋体" w:cs="Times New Roman"/>
          <w:kern w:val="2"/>
          <w:sz w:val="24"/>
          <w:szCs w:val="24"/>
          <w:lang w:val="en-US"/>
        </w:rPr>
        <w:t>R</w:t>
      </w:r>
      <w:r>
        <w:rPr>
          <w:rFonts w:hint="eastAsia" w:ascii="Times New Roman" w:hAnsi="Times New Roman" w:eastAsia="宋体" w:cs="Times New Roman"/>
          <w:kern w:val="2"/>
          <w:sz w:val="24"/>
          <w:szCs w:val="24"/>
          <w:lang w:val="en-US"/>
        </w:rPr>
        <w:t>波和</w:t>
      </w:r>
      <w:r>
        <w:rPr>
          <w:rFonts w:ascii="Times New Roman" w:hAnsi="Times New Roman" w:eastAsia="宋体" w:cs="Times New Roman"/>
          <w:kern w:val="2"/>
          <w:sz w:val="24"/>
          <w:szCs w:val="24"/>
          <w:lang w:val="en-US"/>
        </w:rPr>
        <w:t>S</w:t>
      </w:r>
      <w:r>
        <w:rPr>
          <w:rFonts w:hint="eastAsia" w:ascii="Times New Roman" w:hAnsi="Times New Roman" w:eastAsia="宋体" w:cs="Times New Roman"/>
          <w:kern w:val="2"/>
          <w:sz w:val="24"/>
          <w:szCs w:val="24"/>
          <w:lang w:val="en-US"/>
        </w:rPr>
        <w:t>波幅度、间期、代偿间期、</w:t>
      </w:r>
      <w:r>
        <w:rPr>
          <w:rFonts w:ascii="Times New Roman" w:hAnsi="Times New Roman" w:eastAsia="宋体" w:cs="Times New Roman"/>
          <w:kern w:val="2"/>
          <w:sz w:val="24"/>
          <w:szCs w:val="24"/>
          <w:lang w:val="en-US"/>
        </w:rPr>
        <w:t>QRS</w:t>
      </w:r>
      <w:r>
        <w:rPr>
          <w:rFonts w:hint="eastAsia" w:ascii="Times New Roman" w:hAnsi="Times New Roman" w:eastAsia="宋体" w:cs="Times New Roman"/>
          <w:kern w:val="2"/>
          <w:sz w:val="24"/>
          <w:szCs w:val="24"/>
          <w:lang w:val="en-US"/>
        </w:rPr>
        <w:t>面积、宽度等方式作为</w:t>
      </w:r>
      <w:r>
        <w:rPr>
          <w:rFonts w:ascii="Times New Roman" w:hAnsi="Times New Roman" w:eastAsia="宋体" w:cs="Times New Roman"/>
          <w:kern w:val="2"/>
          <w:sz w:val="24"/>
          <w:szCs w:val="24"/>
          <w:lang w:val="en-US"/>
        </w:rPr>
        <w:t>X</w:t>
      </w:r>
      <w:r>
        <w:rPr>
          <w:rFonts w:hint="eastAsia" w:ascii="Times New Roman" w:hAnsi="Times New Roman" w:eastAsia="宋体" w:cs="Times New Roman"/>
          <w:kern w:val="2"/>
          <w:sz w:val="24"/>
          <w:szCs w:val="24"/>
          <w:lang w:val="en-US"/>
        </w:rPr>
        <w:t>、</w:t>
      </w:r>
      <w:r>
        <w:rPr>
          <w:rFonts w:ascii="Times New Roman" w:hAnsi="Times New Roman" w:eastAsia="宋体" w:cs="Times New Roman"/>
          <w:kern w:val="2"/>
          <w:sz w:val="24"/>
          <w:szCs w:val="24"/>
          <w:lang w:val="en-US"/>
        </w:rPr>
        <w:t>Y</w:t>
      </w:r>
      <w:r>
        <w:rPr>
          <w:rFonts w:hint="eastAsia" w:ascii="Times New Roman" w:hAnsi="Times New Roman" w:eastAsia="宋体" w:cs="Times New Roman"/>
          <w:kern w:val="2"/>
          <w:sz w:val="24"/>
          <w:szCs w:val="24"/>
          <w:lang w:val="en-US"/>
        </w:rPr>
        <w:t>轴坐标），形成不同的吸引子，快速区分形态不一样的心搏；</w:t>
      </w:r>
      <w:r>
        <w:rPr>
          <w:rFonts w:ascii="Times New Roman" w:hAnsi="Times New Roman" w:eastAsia="宋体" w:cs="Times New Roman"/>
          <w:kern w:val="2"/>
          <w:sz w:val="24"/>
          <w:szCs w:val="24"/>
          <w:lang w:val="en-US"/>
        </w:rPr>
        <w:t xml:space="preserve"> </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▲支持房颤默认自动分析、全导联起搏检测功能；【提供经国家药品监督管理局直属检测单位签发的检测报告】</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提供并行分规测量工具；提供放大镜工具；</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起搏器分析功能：通过硬件检测起搏脉冲信号，无需勾选起搏器型号，具备全导联起搏检测。</w:t>
      </w:r>
    </w:p>
    <w:p>
      <w:pPr>
        <w:spacing w:line="360" w:lineRule="auto"/>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动态血压分析：</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数据管理功能：可进行动态血压数据的查询、诊断、备份、还原、删除功能；</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病人信息管理功能：可对病人信息查看、编辑、保存；</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提供血压脉搏波形图显示，辅助医生进行二次诊断；</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智能识别病人测量方式（手动、自动）</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测量状态，包括静止、运动状态（静止、轻度、中度、重度）；</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 xml:space="preserve">提供多种图标辅助分析工具，包括趋势图、关联图、直方图、饼图、K线图等； </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提供血压变异系数、夜间血压下降比、血压负荷、晨峰血压等分析指标；</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提供血压负荷、昼夜节律、动态动脉硬化指数等自动分析结论；</w:t>
      </w:r>
    </w:p>
    <w:p>
      <w:pPr>
        <w:numPr>
          <w:ilvl w:val="0"/>
          <w:numId w:val="9"/>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支持PDF报告打印，自定义报告模板，彩色打印等功能；</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移动会诊升级</w:t>
      </w:r>
    </w:p>
    <w:p>
      <w:pPr>
        <w:numPr>
          <w:ilvl w:val="0"/>
          <w:numId w:val="10"/>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移动会诊支持手机端</w:t>
      </w:r>
      <w:r>
        <w:rPr>
          <w:rFonts w:ascii="Times New Roman" w:hAnsi="Times New Roman" w:eastAsia="宋体" w:cs="Times New Roman"/>
          <w:kern w:val="2"/>
          <w:sz w:val="24"/>
          <w:szCs w:val="24"/>
          <w:lang w:val="en-US"/>
        </w:rPr>
        <w:t>H5</w:t>
      </w:r>
      <w:r>
        <w:rPr>
          <w:rFonts w:hint="eastAsia" w:ascii="Times New Roman" w:hAnsi="Times New Roman" w:eastAsia="宋体" w:cs="Times New Roman"/>
          <w:kern w:val="2"/>
          <w:sz w:val="24"/>
          <w:szCs w:val="24"/>
          <w:lang w:val="en-US"/>
        </w:rPr>
        <w:t>、微信公众号等多种方式实现原始心电图数据的查看，支持Android和iOS系统等各种品牌终端，满足出差、居家等不同场景下的远程会诊需求。</w:t>
      </w:r>
    </w:p>
    <w:p>
      <w:pPr>
        <w:numPr>
          <w:ilvl w:val="0"/>
          <w:numId w:val="10"/>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手机端</w:t>
      </w:r>
      <w:r>
        <w:rPr>
          <w:rFonts w:ascii="Times New Roman" w:hAnsi="Times New Roman" w:eastAsia="宋体" w:cs="Times New Roman"/>
          <w:kern w:val="2"/>
          <w:sz w:val="24"/>
          <w:szCs w:val="24"/>
          <w:lang w:val="en-US"/>
        </w:rPr>
        <w:t>H5</w:t>
      </w:r>
      <w:r>
        <w:rPr>
          <w:rFonts w:hint="eastAsia" w:ascii="Times New Roman" w:hAnsi="Times New Roman" w:eastAsia="宋体" w:cs="Times New Roman"/>
          <w:kern w:val="2"/>
          <w:sz w:val="24"/>
          <w:szCs w:val="24"/>
          <w:lang w:val="en-US"/>
        </w:rPr>
        <w:t>会诊功能，支持手机端报告任务列表刷新功能，可实时查看待处理报告的数量。支持报告编辑功能，提供标准的心电图诊断词条选择或者手动输入诊断词条，辅助医生快速的进行报告编辑。</w:t>
      </w:r>
    </w:p>
    <w:p>
      <w:pPr>
        <w:numPr>
          <w:ilvl w:val="0"/>
          <w:numId w:val="10"/>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支持手机端浏览器访问登录功能；支持记录最近一次登录用户。</w:t>
      </w:r>
    </w:p>
    <w:p>
      <w:pPr>
        <w:numPr>
          <w:ilvl w:val="0"/>
          <w:numId w:val="10"/>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sz w:val="24"/>
          <w:szCs w:val="24"/>
          <w:lang w:val="en-US"/>
        </w:rPr>
        <w:t>支持i</w:t>
      </w:r>
      <w:r>
        <w:rPr>
          <w:rFonts w:ascii="Times New Roman" w:hAnsi="Times New Roman" w:eastAsia="宋体"/>
          <w:sz w:val="24"/>
          <w:szCs w:val="24"/>
          <w:lang w:val="en-US"/>
        </w:rPr>
        <w:t>P</w:t>
      </w:r>
      <w:r>
        <w:rPr>
          <w:rFonts w:hint="eastAsia" w:ascii="Times New Roman" w:hAnsi="Times New Roman" w:eastAsia="宋体"/>
          <w:sz w:val="24"/>
          <w:szCs w:val="24"/>
          <w:lang w:val="en-US"/>
        </w:rPr>
        <w:t>ad端诊断，方便医生值班时使用。支持报告列表功能、支持</w:t>
      </w:r>
      <w:r>
        <w:rPr>
          <w:rFonts w:ascii="Times New Roman" w:hAnsi="Times New Roman" w:eastAsia="宋体"/>
          <w:sz w:val="24"/>
          <w:szCs w:val="24"/>
          <w:lang w:val="en-US"/>
        </w:rPr>
        <w:t>多份心电图切换功能</w:t>
      </w:r>
      <w:r>
        <w:rPr>
          <w:rFonts w:hint="eastAsia" w:ascii="Times New Roman" w:hAnsi="Times New Roman" w:eastAsia="宋体"/>
          <w:sz w:val="24"/>
          <w:szCs w:val="24"/>
          <w:lang w:val="en-US"/>
        </w:rPr>
        <w:t>、支持报告编辑功能；支持通过扫描二维码的方式连接服务器地址，免去繁杂的网址输入过程，防止服务器地址外泄，提高系统安全性。</w:t>
      </w:r>
    </w:p>
    <w:p>
      <w:pPr>
        <w:numPr>
          <w:ilvl w:val="0"/>
          <w:numId w:val="10"/>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 xml:space="preserve">系统支持将心电数据通过网络分享到微信群或者专家的微信，寻求技术指导或典型数据分享。会诊专家可在微信端查看原始心电数据，支持走速、增益的调整，支持导联布局的切换，支持心电波形的滤波。 </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临床web调阅升级</w:t>
      </w:r>
    </w:p>
    <w:p>
      <w:pPr>
        <w:numPr>
          <w:ilvl w:val="0"/>
          <w:numId w:val="11"/>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支持在</w:t>
      </w:r>
      <w:r>
        <w:rPr>
          <w:rFonts w:ascii="Times New Roman" w:hAnsi="Times New Roman" w:eastAsia="宋体" w:cs="Times New Roman"/>
          <w:kern w:val="2"/>
          <w:sz w:val="24"/>
          <w:szCs w:val="24"/>
          <w:lang w:val="en-US"/>
        </w:rPr>
        <w:t>Web端</w:t>
      </w:r>
      <w:r>
        <w:rPr>
          <w:rFonts w:hint="eastAsia" w:ascii="Times New Roman" w:hAnsi="Times New Roman" w:eastAsia="宋体" w:cs="Times New Roman"/>
          <w:kern w:val="2"/>
          <w:sz w:val="24"/>
          <w:szCs w:val="24"/>
          <w:lang w:val="en-US"/>
        </w:rPr>
        <w:t>查看、</w:t>
      </w:r>
      <w:r>
        <w:rPr>
          <w:rFonts w:ascii="Times New Roman" w:hAnsi="Times New Roman" w:eastAsia="宋体" w:cs="Times New Roman"/>
          <w:kern w:val="2"/>
          <w:sz w:val="24"/>
          <w:szCs w:val="24"/>
          <w:lang w:val="en-US"/>
        </w:rPr>
        <w:t>诊断、发布、审核</w:t>
      </w:r>
      <w:r>
        <w:rPr>
          <w:rFonts w:hint="eastAsia" w:ascii="Times New Roman" w:hAnsi="Times New Roman" w:eastAsia="宋体" w:cs="Times New Roman"/>
          <w:kern w:val="2"/>
          <w:sz w:val="24"/>
          <w:szCs w:val="24"/>
          <w:lang w:val="en-US"/>
        </w:rPr>
        <w:t>心电图报告。满足不同场景的业务需求。</w:t>
      </w:r>
    </w:p>
    <w:p>
      <w:pPr>
        <w:numPr>
          <w:ilvl w:val="0"/>
          <w:numId w:val="11"/>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支持根据报告完成状态待诊断、已诊断查看报告，并且直观看出待诊断的报告数量。</w:t>
      </w:r>
    </w:p>
    <w:p>
      <w:pPr>
        <w:numPr>
          <w:ilvl w:val="0"/>
          <w:numId w:val="11"/>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支持通过检查科室、受检者来源、检查时间、受检者标识、受检者姓名快速检索报告。</w:t>
      </w:r>
    </w:p>
    <w:p>
      <w:pPr>
        <w:numPr>
          <w:ilvl w:val="0"/>
          <w:numId w:val="11"/>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支持快速诊断模式。</w:t>
      </w:r>
    </w:p>
    <w:p>
      <w:pPr>
        <w:numPr>
          <w:ilvl w:val="0"/>
          <w:numId w:val="11"/>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支持产生新报告到达即时提醒功能。当检查端采集的病历发送过来时，web端自动弹出提示窗口并语音提醒，提示医生有新报告到达。</w:t>
      </w:r>
    </w:p>
    <w:p>
      <w:pPr>
        <w:numPr>
          <w:ilvl w:val="0"/>
          <w:numId w:val="11"/>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Web终端可查看原始数据，支持调整导联布局、增益、走速及；支持心电波形的滤波，包括肌电滤波、工频滤波、高频滤波；提供标准的心电图诊断</w:t>
      </w:r>
      <w:r>
        <w:rPr>
          <w:rFonts w:hint="eastAsia" w:ascii="Times New Roman" w:hAnsi="Times New Roman" w:eastAsia="宋体" w:cs="Times New Roman"/>
          <w:kern w:val="2"/>
          <w:sz w:val="24"/>
          <w:szCs w:val="24"/>
          <w:lang w:val="en-US"/>
        </w:rPr>
        <w:t>词条选择或者手动输入</w:t>
      </w:r>
      <w:r>
        <w:rPr>
          <w:rFonts w:ascii="Times New Roman" w:hAnsi="Times New Roman" w:eastAsia="宋体" w:cs="Times New Roman"/>
          <w:kern w:val="2"/>
          <w:sz w:val="24"/>
          <w:szCs w:val="24"/>
          <w:lang w:val="en-US"/>
        </w:rPr>
        <w:t>；支持修改受检者部分信息；支持全院数据共享。</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数据统计与质控管理升级</w:t>
      </w:r>
    </w:p>
    <w:p>
      <w:pPr>
        <w:numPr>
          <w:ilvl w:val="0"/>
          <w:numId w:val="12"/>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▲利用大数据可视化系统，通过对医院心电检查、诊断、资源分布等数据的分析挖掘，为院内的业务开展和资源分配提供数据支撑。【提供心电大数据展示系统</w:t>
      </w:r>
      <w:r>
        <w:rPr>
          <w:rFonts w:hint="eastAsia" w:ascii="Times New Roman" w:hAnsi="Times New Roman" w:eastAsia="宋体" w:cs="Times New Roman"/>
          <w:bCs/>
          <w:kern w:val="2"/>
          <w:sz w:val="24"/>
          <w:szCs w:val="24"/>
          <w:lang w:val="en-US"/>
        </w:rPr>
        <w:t>自主知识产权证明</w:t>
      </w:r>
      <w:r>
        <w:rPr>
          <w:rFonts w:hint="eastAsia" w:ascii="Times New Roman" w:hAnsi="Times New Roman" w:eastAsia="宋体" w:cs="Times New Roman"/>
          <w:kern w:val="2"/>
          <w:sz w:val="24"/>
          <w:szCs w:val="24"/>
          <w:lang w:val="en-US"/>
        </w:rPr>
        <w:t>】</w:t>
      </w:r>
    </w:p>
    <w:p>
      <w:pPr>
        <w:numPr>
          <w:ilvl w:val="0"/>
          <w:numId w:val="12"/>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统计分析：实现管理部门对病种、医生、检查报告的统计分析。</w:t>
      </w:r>
    </w:p>
    <w:p>
      <w:pPr>
        <w:numPr>
          <w:ilvl w:val="0"/>
          <w:numId w:val="12"/>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支持根据机构、诊断中心查看报告检查量、诊断量。</w:t>
      </w:r>
    </w:p>
    <w:p>
      <w:pPr>
        <w:numPr>
          <w:ilvl w:val="0"/>
          <w:numId w:val="12"/>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支持诊断来源分布统计。</w:t>
      </w:r>
    </w:p>
    <w:p>
      <w:pPr>
        <w:numPr>
          <w:ilvl w:val="0"/>
          <w:numId w:val="12"/>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支持危急值统计分析，支持列表和柱状图展示。</w:t>
      </w:r>
    </w:p>
    <w:p>
      <w:pPr>
        <w:numPr>
          <w:ilvl w:val="0"/>
          <w:numId w:val="12"/>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▲支持通过心电人工智能进行质控分析，评估诊断医生和诊断组的诊断质量，进一步明确后续的培训方向和提高培训效果。【提供心电人工智能质控中心系统</w:t>
      </w:r>
      <w:r>
        <w:rPr>
          <w:rFonts w:hint="eastAsia" w:ascii="Times New Roman" w:hAnsi="Times New Roman" w:eastAsia="宋体" w:cs="Times New Roman"/>
          <w:bCs/>
          <w:kern w:val="2"/>
          <w:sz w:val="24"/>
          <w:szCs w:val="24"/>
          <w:lang w:val="en-US"/>
        </w:rPr>
        <w:t>自主知识产权证明</w:t>
      </w:r>
      <w:r>
        <w:rPr>
          <w:rFonts w:hint="eastAsia" w:ascii="Times New Roman" w:hAnsi="Times New Roman" w:eastAsia="宋体" w:cs="Times New Roman"/>
          <w:kern w:val="2"/>
          <w:sz w:val="24"/>
          <w:szCs w:val="24"/>
          <w:lang w:val="en-US"/>
        </w:rPr>
        <w:t>】</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基础数据管理升级</w:t>
      </w:r>
    </w:p>
    <w:p>
      <w:pPr>
        <w:numPr>
          <w:ilvl w:val="0"/>
          <w:numId w:val="13"/>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要求系统具有完整的分级权限管理系统，可针对不同人员授予不同的权限，使用者只能做已授权的操作</w:t>
      </w:r>
      <w:r>
        <w:rPr>
          <w:rFonts w:hint="eastAsia" w:ascii="Times New Roman" w:hAnsi="Times New Roman" w:eastAsia="宋体" w:cs="Times New Roman"/>
          <w:kern w:val="2"/>
          <w:sz w:val="24"/>
          <w:szCs w:val="24"/>
          <w:lang w:val="en-US"/>
        </w:rPr>
        <w:t>。</w:t>
      </w:r>
    </w:p>
    <w:p>
      <w:pPr>
        <w:numPr>
          <w:ilvl w:val="0"/>
          <w:numId w:val="13"/>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支持对科室部门进行统一管理，并提供了添加科室部门、修改科室部门、删除科室部门、查询科室部门的功能。</w:t>
      </w:r>
    </w:p>
    <w:p>
      <w:pPr>
        <w:numPr>
          <w:ilvl w:val="0"/>
          <w:numId w:val="13"/>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支持诊断分组功能，包括新增、修改、删除；支持诊断分组关联医护。</w:t>
      </w:r>
    </w:p>
    <w:p>
      <w:pPr>
        <w:numPr>
          <w:ilvl w:val="0"/>
          <w:numId w:val="13"/>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支持诊断分组配置诊断调度规则。</w:t>
      </w:r>
    </w:p>
    <w:p>
      <w:pPr>
        <w:numPr>
          <w:ilvl w:val="0"/>
          <w:numId w:val="13"/>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支持通过数据字典对系统内容进行维护。</w:t>
      </w:r>
    </w:p>
    <w:p>
      <w:pPr>
        <w:numPr>
          <w:ilvl w:val="0"/>
          <w:numId w:val="5"/>
        </w:numPr>
        <w:spacing w:before="120" w:beforeLines="50" w:after="120" w:afterLines="50" w:line="360" w:lineRule="auto"/>
        <w:outlineLvl w:val="1"/>
        <w:rPr>
          <w:rFonts w:ascii="Times New Roman" w:hAnsi="Times New Roman" w:eastAsia="宋体" w:cs="Times New Roman"/>
          <w:b/>
          <w:bCs/>
          <w:kern w:val="2"/>
          <w:sz w:val="24"/>
          <w:szCs w:val="24"/>
          <w:lang w:val="en-US"/>
        </w:rPr>
      </w:pPr>
      <w:r>
        <w:rPr>
          <w:rFonts w:hint="eastAsia" w:ascii="Times New Roman" w:hAnsi="Times New Roman" w:eastAsia="宋体" w:cs="Times New Roman"/>
          <w:b/>
          <w:bCs/>
          <w:kern w:val="2"/>
          <w:sz w:val="24"/>
          <w:szCs w:val="24"/>
          <w:lang w:val="en-US"/>
        </w:rPr>
        <w:t>网络安全升级</w:t>
      </w:r>
    </w:p>
    <w:p>
      <w:pPr>
        <w:numPr>
          <w:ilvl w:val="0"/>
          <w:numId w:val="14"/>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系统具备应对登录的用户进行身份标识和鉴别，身份标识具有唯一性，身份鉴别信息具有复杂度要求并支持定期更换；提供密码强度提示及强度设置要求校验，提供密码定期更换周期设置。</w:t>
      </w:r>
    </w:p>
    <w:p>
      <w:pPr>
        <w:numPr>
          <w:ilvl w:val="0"/>
          <w:numId w:val="14"/>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具有首次登录更换密码设置，支持强制要求首次登录更换密码设置。</w:t>
      </w:r>
    </w:p>
    <w:p>
      <w:pPr>
        <w:numPr>
          <w:ilvl w:val="0"/>
          <w:numId w:val="14"/>
        </w:numPr>
        <w:spacing w:line="360" w:lineRule="auto"/>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 xml:space="preserve">具有登录失败处理功能，配置并启用结束会话、限制非法登录次数和当登录连接超时自动退出等相关措施； </w:t>
      </w:r>
    </w:p>
    <w:p>
      <w:pPr>
        <w:numPr>
          <w:ilvl w:val="0"/>
          <w:numId w:val="14"/>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支持日志审计功能，具有操作记录日志。</w:t>
      </w:r>
    </w:p>
    <w:p>
      <w:pPr>
        <w:numPr>
          <w:ilvl w:val="0"/>
          <w:numId w:val="14"/>
        </w:numPr>
        <w:spacing w:line="360" w:lineRule="auto"/>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支持日志管理功能。</w:t>
      </w:r>
    </w:p>
    <w:p/>
    <w:p>
      <w:pPr>
        <w:pStyle w:val="2"/>
        <w:rPr>
          <w:rFonts w:eastAsiaTheme="minorEastAsia"/>
        </w:rPr>
      </w:pPr>
    </w:p>
    <w:p>
      <w:pPr>
        <w:pStyle w:val="427"/>
        <w:tabs>
          <w:tab w:val="clear" w:pos="1760"/>
        </w:tabs>
        <w:spacing w:before="0"/>
        <w:ind w:left="0" w:leftChars="0" w:right="0" w:rightChars="0"/>
        <w:rPr>
          <w:color w:val="000000"/>
          <w:lang w:eastAsia="zh-CN"/>
        </w:rPr>
      </w:pPr>
      <w:r>
        <w:rPr>
          <w:rFonts w:hint="eastAsia"/>
          <w:color w:val="000000"/>
          <w:lang w:eastAsia="zh-CN"/>
        </w:rPr>
        <w:t>三、商务部分要求</w:t>
      </w:r>
    </w:p>
    <w:p>
      <w:pPr>
        <w:widowControl/>
        <w:shd w:val="clear" w:color="auto" w:fill="FFFFFF"/>
        <w:spacing w:line="360" w:lineRule="auto"/>
        <w:rPr>
          <w:rFonts w:ascii="宋体" w:hAnsi="宋体" w:eastAsia="宋体"/>
          <w:sz w:val="24"/>
          <w:szCs w:val="24"/>
        </w:rPr>
      </w:pPr>
      <w:r>
        <w:rPr>
          <w:rFonts w:hint="eastAsia" w:ascii="宋体" w:hAnsi="宋体" w:eastAsia="宋体"/>
          <w:color w:val="000000"/>
          <w:sz w:val="24"/>
          <w:szCs w:val="24"/>
        </w:rPr>
        <w:t>1、</w:t>
      </w:r>
      <w:r>
        <w:rPr>
          <w:rFonts w:hint="eastAsia" w:ascii="宋体" w:hAnsi="宋体" w:eastAsia="宋体"/>
          <w:b/>
          <w:bCs/>
          <w:color w:val="000000"/>
          <w:sz w:val="24"/>
          <w:szCs w:val="24"/>
        </w:rPr>
        <w:t>质保期</w:t>
      </w:r>
      <w:r>
        <w:rPr>
          <w:rFonts w:hint="eastAsia" w:ascii="宋体" w:hAnsi="宋体" w:eastAsia="宋体"/>
          <w:color w:val="000000"/>
          <w:sz w:val="24"/>
          <w:szCs w:val="24"/>
        </w:rPr>
        <w:t>：</w:t>
      </w:r>
      <w:r>
        <w:rPr>
          <w:rFonts w:hint="eastAsia" w:ascii="宋体" w:hAnsi="宋体" w:eastAsia="宋体"/>
          <w:color w:val="000000" w:themeColor="text1"/>
          <w:sz w:val="24"/>
          <w:szCs w:val="24"/>
          <w14:textFill>
            <w14:solidFill>
              <w14:schemeClr w14:val="tx1"/>
            </w14:solidFill>
          </w14:textFill>
        </w:rPr>
        <w:t>原厂质保期</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年.</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b/>
          <w:bCs/>
          <w:color w:val="000000"/>
          <w:sz w:val="24"/>
          <w:szCs w:val="24"/>
        </w:rPr>
        <w:t>售后服务要求</w:t>
      </w:r>
      <w:r>
        <w:rPr>
          <w:rFonts w:hint="eastAsia" w:ascii="宋体" w:hAnsi="宋体" w:eastAsia="宋体"/>
          <w:color w:val="000000"/>
          <w:sz w:val="24"/>
          <w:szCs w:val="24"/>
        </w:rPr>
        <w:t>：本项目不设置具体售后服务要求,</w:t>
      </w:r>
      <w:r>
        <w:rPr>
          <w:rFonts w:ascii="宋体" w:hAnsi="宋体" w:eastAsia="宋体"/>
          <w:color w:val="000000"/>
          <w:sz w:val="24"/>
          <w:szCs w:val="24"/>
        </w:rPr>
        <w:t xml:space="preserve"> </w:t>
      </w:r>
      <w:r>
        <w:rPr>
          <w:rFonts w:hint="eastAsia" w:ascii="宋体" w:hAnsi="宋体" w:eastAsia="宋体"/>
          <w:color w:val="000000"/>
          <w:sz w:val="24"/>
          <w:szCs w:val="24"/>
        </w:rPr>
        <w:t>供应商根据项目需求,自行出具项目售后服务方案。</w:t>
      </w:r>
    </w:p>
    <w:p>
      <w:pPr>
        <w:widowControl/>
        <w:shd w:val="clear" w:color="auto" w:fill="FFFFFF"/>
        <w:spacing w:line="360" w:lineRule="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hint="eastAsia" w:ascii="宋体" w:hAnsi="宋体" w:eastAsia="宋体"/>
          <w:b/>
          <w:bCs/>
          <w:color w:val="000000"/>
          <w:sz w:val="24"/>
          <w:szCs w:val="24"/>
        </w:rPr>
        <w:t>服务保障和自罚承诺</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1）供应商应对照</w:t>
      </w:r>
      <w:r>
        <w:rPr>
          <w:rFonts w:hint="eastAsia" w:ascii="宋体" w:hAnsi="宋体" w:eastAsia="宋体"/>
          <w:color w:val="000000"/>
          <w:sz w:val="24"/>
          <w:szCs w:val="24"/>
          <w:lang w:val="en-US"/>
        </w:rPr>
        <w:t>询价论证</w:t>
      </w:r>
      <w:r>
        <w:rPr>
          <w:rFonts w:hint="eastAsia" w:ascii="宋体" w:hAnsi="宋体" w:eastAsia="宋体"/>
          <w:color w:val="000000"/>
          <w:sz w:val="24"/>
          <w:szCs w:val="24"/>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hint="eastAsia" w:ascii="宋体" w:hAnsi="宋体" w:eastAsia="宋体"/>
          <w:b/>
          <w:bCs/>
          <w:color w:val="000000"/>
          <w:sz w:val="24"/>
          <w:szCs w:val="24"/>
        </w:rPr>
        <w:t>报价说明</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w:t>
      </w:r>
      <w:r>
        <w:rPr>
          <w:rFonts w:ascii="宋体" w:hAnsi="宋体" w:eastAsia="宋体"/>
          <w:color w:val="FF0000"/>
          <w:sz w:val="24"/>
          <w:szCs w:val="24"/>
        </w:rPr>
        <w:t>平台交易费用</w:t>
      </w:r>
      <w:r>
        <w:rPr>
          <w:rFonts w:ascii="宋体" w:hAnsi="宋体" w:eastAsia="宋体"/>
          <w:sz w:val="24"/>
          <w:szCs w:val="24"/>
        </w:rPr>
        <w:t>、人员、设备、安装调试、验收、售后服务、伴随配套服务等所有含税费用。同时，还应包含支付给员工的工资和国家强制缴纳的各种社会保障资金，以及供应商认为需要的其他费用等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spacing w:line="360" w:lineRule="auto"/>
        <w:ind w:left="200" w:leftChars="100"/>
        <w:rPr>
          <w:rFonts w:ascii="宋体" w:hAnsi="宋体" w:eastAsia="宋体"/>
          <w:color w:val="000000"/>
          <w:sz w:val="24"/>
          <w:szCs w:val="24"/>
        </w:rPr>
      </w:pPr>
      <w:r>
        <w:rPr>
          <w:rFonts w:hint="eastAsia" w:ascii="微软雅黑" w:hAnsi="微软雅黑" w:eastAsia="微软雅黑" w:cs="微软雅黑"/>
          <w:color w:val="000000"/>
          <w:sz w:val="24"/>
          <w:szCs w:val="24"/>
        </w:rPr>
        <w:t>（</w:t>
      </w:r>
      <w:r>
        <w:rPr>
          <w:rFonts w:hint="eastAsia" w:ascii="宋体" w:hAnsi="宋体" w:eastAsia="宋体"/>
          <w:color w:val="000000"/>
          <w:sz w:val="24"/>
          <w:szCs w:val="24"/>
        </w:rPr>
        <w:t>3）供应商报价除包含询价论证文件中列明的项目外还应包括保障服务正常运行应当具有的物资和服务，对服务正常运行应当具有的物资和服务理解不一致的以采购人理解为准。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color w:val="000000" w:themeColor="text1"/>
          <w:sz w:val="24"/>
          <w:szCs w:val="24"/>
          <w14:textFill>
            <w14:solidFill>
              <w14:schemeClr w14:val="tx1"/>
            </w14:solidFill>
          </w14:textFill>
        </w:rPr>
      </w:pPr>
    </w:p>
    <w:p>
      <w:pPr>
        <w:pStyle w:val="57"/>
        <w:spacing w:after="0"/>
        <w:ind w:firstLine="211"/>
        <w:rPr>
          <w:rFonts w:ascii="宋体" w:hAnsi="宋体"/>
          <w:b/>
          <w:szCs w:val="21"/>
        </w:rPr>
      </w:pPr>
    </w:p>
    <w:p>
      <w:pPr>
        <w:widowControl/>
        <w:jc w:val="left"/>
        <w:rPr>
          <w:rFonts w:ascii="宋体" w:hAnsi="宋体" w:eastAsia="宋体"/>
          <w:sz w:val="24"/>
          <w:szCs w:val="24"/>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bookmarkStart w:id="4" w:name="_Toc381716888"/>
      <w:r>
        <w:rPr>
          <w:rFonts w:hint="eastAsia" w:hAnsi="宋体"/>
          <w:sz w:val="32"/>
          <w:szCs w:val="32"/>
        </w:rPr>
        <w:t>第四章  响应文件格式</w:t>
      </w:r>
      <w:bookmarkEnd w:id="4"/>
    </w:p>
    <w:p>
      <w:pPr>
        <w:pStyle w:val="4"/>
        <w:spacing w:before="210" w:after="3"/>
        <w:ind w:left="7"/>
        <w:jc w:val="center"/>
      </w:pPr>
      <w:r>
        <w:rPr>
          <w:rFonts w:hint="eastAsia"/>
        </w:rPr>
        <w:t>资格自查表</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477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4770"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c>
          <w:tcPr>
            <w:tcW w:w="1590" w:type="dxa"/>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内控询价论证申请及声明</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是否按照内控询价论证申请及声明格式要求正确填写，是否按照要求盖章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是否按照法定代表人授权委托书格式要求正确填写，是否按照要求签字，是否按要求提供代理人身份证明文件</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ascii="宋体" w:hAnsi="宋体" w:eastAsia="宋体"/>
                <w:bCs/>
                <w:sz w:val="24"/>
                <w:szCs w:val="24"/>
                <w:lang w:val="en-US"/>
              </w:rPr>
              <w:t>南京市政府采购供应商信用记录表暨信用承诺书</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第一章内控询价论证邀请中4.2采购人根据采购项目的特殊要求规定的特定条件的证明文件（若有）</w:t>
            </w:r>
          </w:p>
        </w:tc>
        <w:tc>
          <w:tcPr>
            <w:tcW w:w="4770"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是否按照询价论证文件规定的要求提供相关证明材料，如未做要求，则可以不予提供。</w:t>
            </w:r>
          </w:p>
        </w:tc>
        <w:tc>
          <w:tcPr>
            <w:tcW w:w="1590" w:type="dxa"/>
          </w:tcPr>
          <w:p>
            <w:pPr>
              <w:pStyle w:val="429"/>
              <w:spacing w:before="120" w:line="360" w:lineRule="auto"/>
              <w:jc w:val="center"/>
              <w:rPr>
                <w:rFonts w:ascii="宋体" w:hAnsi="宋体" w:eastAsia="宋体"/>
                <w:b/>
                <w:sz w:val="24"/>
                <w:szCs w:val="24"/>
                <w:lang w:val="en-US"/>
              </w:rPr>
            </w:pPr>
          </w:p>
        </w:tc>
      </w:tr>
    </w:tbl>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注1：对于投标文件中有任意一条不满足上表要求的将导致其投标无效，不进入最终评审。</w:t>
      </w:r>
    </w:p>
    <w:p>
      <w:pPr>
        <w:pStyle w:val="429"/>
        <w:spacing w:before="120" w:line="360" w:lineRule="auto"/>
        <w:jc w:val="left"/>
        <w:rPr>
          <w:bCs/>
          <w:lang w:val="ja-JP" w:eastAsia="ja-JP" w:bidi="ja-JP"/>
        </w:rPr>
      </w:pPr>
      <w:r>
        <w:rPr>
          <w:rFonts w:hint="eastAsia" w:ascii="宋体" w:hAnsi="宋体" w:eastAsia="宋体"/>
          <w:bCs/>
          <w:sz w:val="24"/>
          <w:szCs w:val="24"/>
          <w:lang w:val="en-US"/>
        </w:rPr>
        <w:t>注2：供应商在中标（成交）后，应按询价论证文件要求，将南京市政府采购供应商信用记录表暨信用承诺书替代的证明材料：1、符合国家相关规定的财务状况报告；2、依法缴纳税收的证明材料；3、依法缴纳社会保障资金的证明材料；4、具备履行政府采购合同所必需的设备和 专业技术能力的证明材料；5、参加政府询价论证活动前三年内在经营活动中没有重大违法记录的证明材料；提交采购人核验。经核验无误后，由采购人或采购代理机构发出中标（成交）通知书。</w:t>
      </w:r>
      <w:r>
        <w:rPr>
          <w:rFonts w:ascii="黑体" w:eastAsia="黑体"/>
          <w:szCs w:val="32"/>
        </w:rPr>
        <w:br w:type="page"/>
      </w:r>
    </w:p>
    <w:p>
      <w:pPr>
        <w:pStyle w:val="2"/>
        <w:ind w:left="1200"/>
        <w:rPr>
          <w:rFonts w:ascii="黑体" w:hAnsi="宋体" w:eastAsia="黑体"/>
          <w:sz w:val="32"/>
          <w:szCs w:val="32"/>
        </w:rPr>
      </w:pPr>
    </w:p>
    <w:p/>
    <w:p>
      <w:pPr>
        <w:spacing w:line="360" w:lineRule="auto"/>
        <w:jc w:val="center"/>
        <w:rPr>
          <w:rFonts w:ascii="微软雅黑" w:hAnsi="微软雅黑" w:eastAsia="微软雅黑"/>
          <w:bCs/>
          <w:sz w:val="30"/>
          <w:szCs w:val="30"/>
        </w:rPr>
      </w:pPr>
      <w:r>
        <w:rPr>
          <w:rFonts w:hint="eastAsia" w:ascii="微软雅黑" w:hAnsi="微软雅黑" w:eastAsia="微软雅黑"/>
          <w:sz w:val="30"/>
          <w:szCs w:val="30"/>
          <w:lang w:val="en-US"/>
        </w:rPr>
        <w:t>全院心电网络系统升级项目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项目编号：</w:t>
      </w:r>
      <w:r>
        <w:rPr>
          <w:rFonts w:hint="eastAsia" w:ascii="黑体" w:hAnsi="黑体" w:eastAsia="黑体" w:cs="微软雅黑"/>
          <w:w w:val="95"/>
          <w:sz w:val="32"/>
          <w:szCs w:val="32"/>
          <w:u w:val="single"/>
        </w:rPr>
        <w:t xml:space="preserve"> </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sz w:val="32"/>
          <w:szCs w:val="32"/>
          <w:u w:val="single"/>
          <w:lang w:val="en-US"/>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480" w:lineRule="auto"/>
        <w:ind w:left="1200" w:leftChars="600" w:firstLine="608" w:firstLineChars="2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w w:val="95"/>
          <w:sz w:val="32"/>
          <w:szCs w:val="32"/>
          <w:u w:val="single"/>
        </w:rPr>
        <w:t xml:space="preserve">                  </w:t>
      </w: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2212" w:firstLineChars="700"/>
        <w:rPr>
          <w:rFonts w:ascii="黑体" w:hAnsi="黑体" w:eastAsia="黑体"/>
          <w:sz w:val="32"/>
          <w:szCs w:val="32"/>
        </w:rPr>
      </w:pPr>
      <w:r>
        <w:rPr>
          <w:rFonts w:ascii="黑体" w:hAnsi="黑体" w:eastAsia="黑体"/>
          <w:w w:val="99"/>
          <w:sz w:val="32"/>
          <w:szCs w:val="32"/>
          <w:u w:val="single"/>
        </w:rPr>
        <w:t xml:space="preserve"> </w:t>
      </w:r>
      <w:r>
        <w:rPr>
          <w:rFonts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sz w:val="32"/>
          <w:szCs w:val="32"/>
          <w:u w:val="single"/>
          <w:lang w:val="en-US"/>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autoSpaceDE w:val="0"/>
        <w:autoSpaceDN w:val="0"/>
        <w:spacing w:line="360" w:lineRule="auto"/>
        <w:jc w:val="center"/>
        <w:outlineLvl w:val="1"/>
        <w:rPr>
          <w:rFonts w:ascii="黑体" w:hAnsi="黑体" w:eastAsia="黑体"/>
          <w:sz w:val="32"/>
          <w:szCs w:val="32"/>
        </w:rPr>
      </w:pPr>
      <w:r>
        <w:rPr>
          <w:rFonts w:ascii="仿宋_GB2312" w:eastAsia="仿宋_GB2312"/>
          <w:sz w:val="24"/>
        </w:rPr>
        <w:br w:type="page"/>
      </w:r>
      <w:r>
        <w:rPr>
          <w:rFonts w:hint="eastAsia" w:ascii="黑体" w:hAnsi="黑体" w:eastAsia="黑体"/>
          <w:b/>
          <w:bCs/>
          <w:sz w:val="32"/>
          <w:szCs w:val="32"/>
          <w:lang w:bidi="zh-CN"/>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一、内控询价论证申请及声明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三、第一章内控询价论证邀请4.1《中华人民共和国政府采购法》第二十二条规定的条件的证明文件</w:t>
      </w:r>
      <w:r>
        <w:rPr>
          <w:rFonts w:ascii="宋体" w:hAnsi="宋体" w:eastAsia="宋体"/>
          <w:sz w:val="21"/>
          <w:szCs w:val="22"/>
          <w:lang w:bidi="zh-CN"/>
        </w:rPr>
        <w:tab/>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、第一章内控询价论证邀请4.2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《南京市政府采购供应商信用记录表暨信用承诺书》</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相关</w:t>
      </w:r>
      <w:r>
        <w:rPr>
          <w:rFonts w:ascii="宋体" w:hAnsi="宋体" w:eastAsia="宋体"/>
          <w:sz w:val="21"/>
          <w:szCs w:val="22"/>
          <w:lang w:bidi="zh-CN"/>
        </w:rPr>
        <w:t>表格</w:t>
      </w:r>
      <w:r>
        <w:rPr>
          <w:rFonts w:ascii="宋体" w:hAnsi="宋体" w:eastAsia="宋体"/>
          <w:sz w:val="21"/>
          <w:szCs w:val="22"/>
          <w:lang w:bidi="zh-CN"/>
        </w:rPr>
        <w:tab/>
      </w:r>
      <w:r>
        <w:rPr>
          <w:rFonts w:ascii="宋体" w:hAnsi="宋体" w:eastAsia="宋体"/>
          <w:sz w:val="21"/>
          <w:szCs w:val="22"/>
          <w:lang w:bidi="zh-CN"/>
        </w:rPr>
        <w:t>X</w:t>
      </w:r>
    </w:p>
    <w:p>
      <w:pPr>
        <w:pStyle w:val="2"/>
        <w:ind w:left="0"/>
        <w:rPr>
          <w:rFonts w:eastAsiaTheme="minorEastAsia"/>
          <w:lang w:bidi="zh-CN"/>
        </w:rPr>
      </w:pPr>
      <w:r>
        <w:rPr>
          <w:rFonts w:hint="eastAsia" w:eastAsiaTheme="minorEastAsia"/>
          <w:lang w:bidi="zh-CN"/>
        </w:rPr>
        <w:t>七、技术服务方案</w:t>
      </w:r>
      <w:r>
        <w:rPr>
          <w:rFonts w:eastAsiaTheme="minorEastAsia"/>
          <w:lang w:bidi="zh-CN"/>
        </w:rPr>
        <w:t>………………………………………………………………………………………………………………………………………………………</w:t>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p>
    <w:p>
      <w:pPr>
        <w:autoSpaceDE w:val="0"/>
        <w:autoSpaceDN w:val="0"/>
        <w:spacing w:line="360" w:lineRule="auto"/>
        <w:outlineLvl w:val="1"/>
        <w:rPr>
          <w:rFonts w:ascii="黑体" w:hAnsi="黑体" w:eastAsia="黑体"/>
          <w:b/>
          <w:bCs/>
          <w:sz w:val="24"/>
          <w:szCs w:val="24"/>
          <w:lang w:bidi="zh-CN"/>
        </w:rPr>
      </w:pPr>
      <w:r>
        <w:rPr>
          <w:rFonts w:hint="eastAsia" w:ascii="仿宋_GB2312" w:eastAsia="仿宋_GB2312"/>
          <w:sz w:val="24"/>
        </w:rPr>
        <w:br w:type="page"/>
      </w:r>
      <w:r>
        <w:rPr>
          <w:rFonts w:hint="eastAsia" w:ascii="黑体" w:hAnsi="黑体" w:eastAsia="黑体"/>
          <w:b/>
          <w:bCs/>
          <w:sz w:val="24"/>
          <w:szCs w:val="24"/>
          <w:lang w:bidi="zh-CN"/>
        </w:rPr>
        <w:t>一、内控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内控</w:t>
      </w:r>
      <w:r>
        <w:rPr>
          <w:rFonts w:hint="eastAsia" w:ascii="宋体" w:hAnsi="宋体" w:eastAsia="宋体"/>
          <w:bCs/>
          <w:sz w:val="24"/>
          <w:szCs w:val="24"/>
        </w:rPr>
        <w:t>询价论证</w:t>
      </w:r>
      <w:r>
        <w:rPr>
          <w:rFonts w:hint="eastAsia" w:ascii="宋体" w:hAnsi="宋体" w:eastAsia="宋体"/>
          <w:b/>
          <w:bCs/>
          <w:sz w:val="24"/>
          <w:szCs w:val="24"/>
        </w:rPr>
        <w:t>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据此函，声明如下：</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我方的资格条件符合政府采购法和本次采购要求。</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我方参加政府询价论证活动前三年内，在经营活动中没有重大违法记录。</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参加本次询价论证活动前，我方没有被信用中国网站、中国政府采购网站列入失信被执行人名单、</w:t>
      </w:r>
      <w:r>
        <w:rPr>
          <w:rFonts w:ascii="宋体" w:hAnsi="宋体" w:eastAsia="宋体"/>
          <w:sz w:val="24"/>
          <w:szCs w:val="24"/>
        </w:rPr>
        <w:t>重大税收违法失信主体</w:t>
      </w:r>
      <w:r>
        <w:rPr>
          <w:rFonts w:hint="eastAsia" w:ascii="宋体" w:hAnsi="宋体" w:eastAsia="宋体"/>
          <w:sz w:val="24"/>
          <w:szCs w:val="24"/>
        </w:rPr>
        <w:t>、政府采购严重违法失信行为记录名单。</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我方在全国范围内未受过财政部门禁止参加政府询价论证活动的处罚期限，或在全国范围内受过财政部门禁止参加政府询价论证活动的处罚期限已满。</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我方没有为本采购项目提供整体设计、规范编制，以及项目管理、监理、检测等服务。</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我方与参与本次询价论证活动的其他供应商的授权代理人</w:t>
      </w:r>
      <w:r>
        <w:rPr>
          <w:rFonts w:ascii="宋体" w:hAnsi="宋体" w:eastAsia="宋体"/>
          <w:sz w:val="24"/>
          <w:szCs w:val="24"/>
        </w:rPr>
        <w:t>(</w:t>
      </w:r>
      <w:r>
        <w:rPr>
          <w:rFonts w:hint="eastAsia" w:ascii="宋体" w:hAnsi="宋体" w:eastAsia="宋体"/>
          <w:sz w:val="24"/>
          <w:szCs w:val="24"/>
        </w:rPr>
        <w:t>或法定代表人、项目经理、项目总监、项目负责人等</w:t>
      </w:r>
      <w:r>
        <w:rPr>
          <w:rFonts w:ascii="宋体" w:hAnsi="宋体" w:eastAsia="宋体"/>
          <w:sz w:val="24"/>
          <w:szCs w:val="24"/>
        </w:rPr>
        <w:t>)</w:t>
      </w:r>
      <w:r>
        <w:rPr>
          <w:rFonts w:hint="eastAsia" w:ascii="宋体" w:hAnsi="宋体" w:eastAsia="宋体"/>
          <w:sz w:val="24"/>
          <w:szCs w:val="24"/>
        </w:rPr>
        <w:t>在询价论证文件发布日上月至投标截止日当月未在同一单位缴纳社会保险的。</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我方与参与本次询价论证活动的其他供应商的法定代表人或委托代理人无夫妻、直系血亲关系的；</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我方与参与本次询价论证活动的其他供应商的负责人不是同一人，也不存在直接控股、管理关系。</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我方已详细审核全部内控询价论证文件及其有效补充文件，我们放弃对内控询价论证文件任何误解的权利，提交投标文件后，不对内控询价论证文件本身提出质疑。</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我方同意并向贵方提供了与投标有关的所有证据和资料。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rPr>
        <w:t>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w:t>
      </w:r>
      <w:r>
        <w:rPr>
          <w:rFonts w:hint="eastAsia" w:ascii="宋体" w:hAnsi="宋体" w:eastAsia="宋体"/>
          <w:sz w:val="24"/>
          <w:szCs w:val="24"/>
        </w:rPr>
        <w:t>我们已详细审核全部内控询价论证文件及其有效补充文件，我们放弃对内控询价论证文件任何误解的权利，提交响应文件后，</w:t>
      </w:r>
      <w:r>
        <w:rPr>
          <w:rFonts w:hint="eastAsia" w:ascii="宋体" w:hAnsi="宋体" w:eastAsia="宋体"/>
          <w:bCs/>
          <w:sz w:val="24"/>
          <w:szCs w:val="24"/>
        </w:rPr>
        <w:t>不对内控询价论证文件本身提出质疑。</w:t>
      </w:r>
      <w:r>
        <w:rPr>
          <w:rFonts w:hint="eastAsia" w:ascii="宋体" w:hAnsi="宋体" w:eastAsia="宋体"/>
          <w:sz w:val="24"/>
          <w:szCs w:val="24"/>
        </w:rPr>
        <w:t>否则，属于不诚信和故意扰乱内控询价论证活动行为，我们将无条件接受处罚。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13</w:t>
      </w:r>
      <w:r>
        <w:rPr>
          <w:rFonts w:ascii="宋体" w:hAnsi="宋体" w:eastAsia="宋体"/>
          <w:sz w:val="24"/>
          <w:szCs w:val="24"/>
        </w:rPr>
        <w:t>.</w:t>
      </w:r>
      <w:r>
        <w:rPr>
          <w:rFonts w:hint="eastAsia" w:ascii="宋体" w:hAnsi="宋体" w:eastAsia="宋体"/>
          <w:sz w:val="24"/>
          <w:szCs w:val="24"/>
        </w:rPr>
        <w:t>一旦我方成交，我方将根据内控询价论证文件的规定，严格履行合同，保证于承诺的时间内完成本项目规定的服务内容。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ascii="宋体" w:hAnsi="宋体" w:eastAsia="宋体"/>
          <w:sz w:val="24"/>
          <w:szCs w:val="24"/>
        </w:rPr>
        <w:t>.</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16</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widowControl/>
        <w:adjustRightInd w:val="0"/>
        <w:spacing w:line="360" w:lineRule="auto"/>
        <w:jc w:val="center"/>
        <w:rPr>
          <w:rFonts w:ascii="黑体" w:hAnsi="黑体" w:eastAsia="黑体" w:cs="黑体"/>
          <w:sz w:val="24"/>
          <w:szCs w:val="24"/>
        </w:rPr>
      </w:pP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二、法定代表人授权委托书及委托代理人的身份证明文件的复印件</w:t>
      </w:r>
    </w:p>
    <w:p>
      <w:pPr>
        <w:widowControl/>
        <w:shd w:val="clear" w:color="auto" w:fill="FFFFFF"/>
        <w:spacing w:line="360" w:lineRule="auto"/>
        <w:ind w:firstLine="720"/>
        <w:jc w:val="center"/>
        <w:rPr>
          <w:rFonts w:ascii="宋体" w:hAnsi="宋体" w:eastAsia="宋体"/>
          <w:sz w:val="24"/>
          <w:szCs w:val="24"/>
        </w:rPr>
      </w:pPr>
    </w:p>
    <w:p>
      <w:pPr>
        <w:widowControl/>
        <w:shd w:val="clear" w:color="auto" w:fill="FFFFFF"/>
        <w:spacing w:line="36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（项目编号）进行询价论证投标，以本公司名义处理一切与之有关的事务。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三、第一章内控</w:t>
      </w:r>
      <w:r>
        <w:rPr>
          <w:rFonts w:hint="eastAsia" w:ascii="宋体" w:hAnsi="宋体" w:eastAsia="宋体"/>
          <w:bCs/>
          <w:sz w:val="24"/>
          <w:szCs w:val="24"/>
          <w:lang w:bidi="zh-CN"/>
        </w:rPr>
        <w:t>询价论证</w:t>
      </w:r>
      <w:r>
        <w:rPr>
          <w:rFonts w:hint="eastAsia" w:ascii="宋体" w:hAnsi="宋体" w:eastAsia="宋体"/>
          <w:b/>
          <w:bCs/>
          <w:sz w:val="24"/>
          <w:szCs w:val="24"/>
          <w:lang w:bidi="zh-CN"/>
        </w:rPr>
        <w:t>邀请中4.1规定条件的证明文件</w:t>
      </w:r>
    </w:p>
    <w:p>
      <w:pPr>
        <w:autoSpaceDE w:val="0"/>
        <w:autoSpaceDN w:val="0"/>
        <w:adjustRightInd w:val="0"/>
        <w:spacing w:line="360" w:lineRule="auto"/>
        <w:ind w:left="400" w:leftChars="2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价论证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2" w:firstLineChars="200"/>
        <w:rPr>
          <w:rFonts w:ascii="宋体" w:hAnsi="宋体" w:eastAsia="宋体"/>
          <w:b/>
          <w:color w:val="000000"/>
          <w:sz w:val="24"/>
          <w:szCs w:val="24"/>
          <w:lang w:val="en-US"/>
        </w:rPr>
      </w:pPr>
      <w:r>
        <w:rPr>
          <w:rFonts w:hint="eastAsia" w:ascii="宋体" w:hAnsi="宋体" w:eastAsia="宋体"/>
          <w:b/>
          <w:color w:val="000000"/>
          <w:sz w:val="24"/>
          <w:szCs w:val="24"/>
          <w:lang w:val="en-US"/>
        </w:rPr>
        <w:t>5、如</w:t>
      </w:r>
      <w:r>
        <w:rPr>
          <w:rFonts w:ascii="宋体" w:hAnsi="宋体" w:eastAsia="宋体"/>
          <w:b/>
          <w:color w:val="000000"/>
          <w:sz w:val="24"/>
          <w:szCs w:val="24"/>
        </w:rPr>
        <w:t>江苏省苏采云所入围品牌对应供货商</w:t>
      </w:r>
      <w:r>
        <w:rPr>
          <w:rFonts w:hint="eastAsia" w:ascii="宋体" w:hAnsi="宋体" w:eastAsia="宋体"/>
          <w:b/>
          <w:color w:val="000000"/>
          <w:sz w:val="24"/>
          <w:szCs w:val="24"/>
          <w:lang w:val="en-US"/>
        </w:rPr>
        <w:t>证明。</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其他会计报表至少包含资产负债表、利润表、现金流量表，但属于《中小企业划型标准规定》的小企业（含小型、微型）编制的会计报表可以不包括现金流量表（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1、缴纳税收证明材料：供应商参加询价论证活动前一年（至少一个月）内缴纳增值税或营业税或企业所得税凭据；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2、缴纳社会保障资金证明材料：供应商参加询价论证活动前一年（至少一个月）内缴纳社会保险的凭据（专用收据或社会保障缴纳清单）；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400" w:leftChars="200"/>
        <w:jc w:val="left"/>
        <w:rPr>
          <w:rFonts w:ascii="宋体" w:hAnsi="宋体" w:eastAsia="宋体"/>
          <w:b/>
          <w:sz w:val="24"/>
          <w:szCs w:val="24"/>
        </w:rPr>
      </w:pPr>
      <w:r>
        <w:rPr>
          <w:rFonts w:hint="eastAsia" w:ascii="宋体" w:hAnsi="宋体" w:eastAsia="宋体"/>
          <w:b/>
          <w:bCs/>
          <w:color w:val="000000"/>
          <w:sz w:val="24"/>
          <w:szCs w:val="24"/>
        </w:rPr>
        <w:t>（五）参加</w:t>
      </w:r>
      <w:r>
        <w:rPr>
          <w:rFonts w:hint="eastAsia" w:ascii="宋体" w:hAnsi="宋体" w:eastAsia="宋体"/>
          <w:bCs/>
          <w:color w:val="000000"/>
          <w:sz w:val="24"/>
          <w:szCs w:val="24"/>
        </w:rPr>
        <w:t>询价论证</w:t>
      </w:r>
      <w:r>
        <w:rPr>
          <w:rFonts w:hint="eastAsia" w:ascii="宋体" w:hAnsi="宋体" w:eastAsia="宋体"/>
          <w:b/>
          <w:bCs/>
          <w:color w:val="000000"/>
          <w:sz w:val="24"/>
          <w:szCs w:val="24"/>
        </w:rPr>
        <w:t>活动前三年内，在经营活动中没有重大违法记录</w:t>
      </w:r>
      <w:r>
        <w:rPr>
          <w:rFonts w:hint="eastAsia" w:ascii="宋体" w:hAnsi="宋体" w:eastAsia="宋体"/>
          <w:color w:val="000000"/>
          <w:sz w:val="24"/>
          <w:szCs w:val="24"/>
        </w:rPr>
        <w:t>（提供参加本次询价论证活动前3年内在经营活动中没有重大违法记录的书面声明）。</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参加询价论证活动前3年内在经营活动中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
      <w:pPr>
        <w:autoSpaceDE w:val="0"/>
        <w:autoSpaceDN w:val="0"/>
        <w:spacing w:line="360" w:lineRule="auto"/>
        <w:jc w:val="center"/>
        <w:outlineLvl w:val="1"/>
        <w:rPr>
          <w:rFonts w:ascii="黑体" w:hAnsi="黑体" w:eastAsia="黑体"/>
          <w:b/>
          <w:bCs/>
          <w:sz w:val="24"/>
          <w:szCs w:val="24"/>
          <w:lang w:bidi="zh-CN"/>
        </w:rPr>
      </w:pPr>
      <w:r>
        <w:rPr>
          <w:rFonts w:hint="eastAsia" w:ascii="黑体" w:hAnsi="黑体" w:eastAsia="黑体"/>
          <w:b/>
          <w:bCs/>
          <w:sz w:val="24"/>
          <w:szCs w:val="24"/>
          <w:lang w:bidi="zh-CN"/>
        </w:rPr>
        <w:t>四、第一章内控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邀请4.2采购人根据内控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项目的特殊要求规定的特定条件的证明文件</w:t>
      </w:r>
    </w:p>
    <w:p>
      <w:pPr>
        <w:widowControl/>
        <w:adjustRightInd w:val="0"/>
        <w:spacing w:line="360" w:lineRule="auto"/>
        <w:ind w:firstLine="481"/>
        <w:jc w:val="left"/>
        <w:rPr>
          <w:rFonts w:ascii="宋体" w:hAnsi="宋体" w:eastAsia="宋体"/>
          <w:b/>
          <w:sz w:val="24"/>
          <w:szCs w:val="24"/>
          <w:lang w:val="en-US"/>
        </w:rPr>
      </w:pPr>
    </w:p>
    <w:p>
      <w:pPr>
        <w:widowControl/>
        <w:adjustRightInd w:val="0"/>
        <w:spacing w:line="360" w:lineRule="auto"/>
        <w:ind w:firstLine="481"/>
        <w:jc w:val="left"/>
        <w:rPr>
          <w:rFonts w:ascii="宋体" w:hAnsi="宋体" w:eastAsia="宋体"/>
          <w:bCs/>
          <w:sz w:val="24"/>
          <w:szCs w:val="24"/>
          <w:lang w:val="en-US"/>
        </w:rPr>
      </w:pPr>
      <w:r>
        <w:rPr>
          <w:rFonts w:hint="eastAsia" w:ascii="宋体" w:hAnsi="宋体" w:eastAsia="宋体"/>
          <w:bCs/>
          <w:sz w:val="24"/>
          <w:szCs w:val="24"/>
          <w:lang w:val="en-US"/>
        </w:rPr>
        <w:t>注：供应商应当按照内控询价论证文件规定的要求提供相关证明材料，如未做要求，则可以不予提供。</w:t>
      </w:r>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五、《南京市政府采购供应商信用记录表暨信用承诺书》</w:t>
      </w:r>
    </w:p>
    <w:p>
      <w:pPr>
        <w:tabs>
          <w:tab w:val="left" w:pos="4890"/>
        </w:tabs>
        <w:spacing w:line="360" w:lineRule="auto"/>
        <w:rPr>
          <w:rFonts w:ascii="宋体" w:hAnsi="宋体" w:eastAsia="宋体"/>
          <w:sz w:val="24"/>
          <w:szCs w:val="28"/>
        </w:rPr>
      </w:pPr>
      <w:r>
        <w:rPr>
          <w:rFonts w:hint="eastAsia" w:ascii="宋体" w:hAnsi="宋体" w:eastAsia="宋体"/>
          <w:bCs/>
          <w:sz w:val="24"/>
          <w:szCs w:val="24"/>
        </w:rPr>
        <w:t>供应商需每次参加政府询价论证活动时，在询价论证文件发布之日起至递交投标（响应）文件截止日前，应先登录</w:t>
      </w:r>
      <w:r>
        <w:rPr>
          <w:rFonts w:hint="eastAsia" w:ascii="宋体" w:hAnsi="宋体" w:eastAsia="宋体" w:cs="微软雅黑"/>
          <w:bCs/>
          <w:sz w:val="24"/>
          <w:szCs w:val="24"/>
          <w:lang w:val="en-US"/>
        </w:rPr>
        <w:t>诚信管理系统</w:t>
      </w:r>
      <w:r>
        <w:rPr>
          <w:rFonts w:hint="eastAsia" w:ascii="宋体" w:hAnsi="宋体" w:eastAsia="宋体"/>
          <w:bCs/>
          <w:sz w:val="24"/>
          <w:szCs w:val="24"/>
        </w:rPr>
        <w:t>在线打印其“南京市政府采购供应商信用记录表暨信用承诺书”，</w:t>
      </w:r>
      <w:r>
        <w:rPr>
          <w:rFonts w:hint="eastAsia" w:ascii="宋体" w:hAnsi="宋体" w:eastAsia="宋体"/>
          <w:b/>
          <w:sz w:val="24"/>
          <w:szCs w:val="24"/>
        </w:rPr>
        <w:t>经法定代表人签名盖章后作为投标文件的组成部分提交。“南京市政府采购供应商信用记录表暨信用承诺书”是其参加政府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宋体" w:hAnsi="宋体" w:eastAsia="宋体"/>
          <w:bCs/>
          <w:sz w:val="24"/>
          <w:szCs w:val="24"/>
        </w:rPr>
        <w:t>。</w:t>
      </w: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六、相关表格</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（一）报价表格式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69"/>
        <w:gridCol w:w="1984"/>
        <w:gridCol w:w="389"/>
        <w:gridCol w:w="710"/>
        <w:gridCol w:w="1134"/>
        <w:gridCol w:w="9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4" w:type="dxa"/>
            <w:gridSpan w:val="5"/>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2837" w:type="dxa"/>
            <w:gridSpan w:val="3"/>
            <w:tcBorders>
              <w:top w:val="nil"/>
              <w:left w:val="nil"/>
              <w:bottom w:val="single" w:color="auto" w:sz="4" w:space="0"/>
              <w:right w:val="nil"/>
            </w:tcBorders>
            <w:vAlign w:val="center"/>
          </w:tcPr>
          <w:p>
            <w:pPr>
              <w:widowControl/>
              <w:adjustRightInd w:val="0"/>
              <w:spacing w:line="360" w:lineRule="auto"/>
              <w:ind w:firstLine="240" w:firstLineChars="100"/>
              <w:jc w:val="left"/>
              <w:rPr>
                <w:rFonts w:ascii="宋体" w:hAnsi="宋体" w:eastAsia="宋体"/>
                <w:color w:val="000000"/>
                <w:sz w:val="24"/>
                <w:szCs w:val="24"/>
              </w:rPr>
            </w:pPr>
            <w:r>
              <w:rPr>
                <w:rFonts w:hint="eastAsia" w:ascii="宋体" w:hAnsi="宋体" w:eastAsia="宋体"/>
                <w:color w:val="000000"/>
                <w:sz w:val="24"/>
                <w:szCs w:val="24"/>
              </w:rPr>
              <w:t>项目编号：</w:t>
            </w:r>
          </w:p>
        </w:tc>
        <w:tc>
          <w:tcPr>
            <w:tcW w:w="1265" w:type="dxa"/>
            <w:tcBorders>
              <w:top w:val="nil"/>
              <w:left w:val="nil"/>
              <w:bottom w:val="single" w:color="auto" w:sz="4" w:space="0"/>
              <w:right w:val="nil"/>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2653"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ascii="宋体" w:hAnsi="宋体" w:eastAsia="宋体"/>
                <w:color w:val="000000"/>
                <w:sz w:val="24"/>
                <w:szCs w:val="24"/>
              </w:rPr>
              <w:t>品牌、规格或型号</w:t>
            </w:r>
          </w:p>
        </w:tc>
        <w:tc>
          <w:tcPr>
            <w:tcW w:w="1099"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rPr>
                <w:rFonts w:ascii="宋体" w:hAnsi="宋体" w:eastAsia="宋体"/>
                <w:bCs/>
                <w:color w:val="000000"/>
                <w:sz w:val="24"/>
                <w:szCs w:val="24"/>
                <w:lang w:val="en-US"/>
              </w:rPr>
            </w:pPr>
            <w:r>
              <w:rPr>
                <w:rFonts w:hint="eastAsia" w:ascii="宋体" w:hAnsi="宋体" w:eastAsia="宋体"/>
                <w:bCs/>
                <w:color w:val="000000"/>
                <w:sz w:val="24"/>
                <w:szCs w:val="24"/>
                <w:lang w:val="en-US"/>
              </w:rPr>
              <w:t>质保或服务时间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3"/>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r>
              <w:rPr>
                <w:rFonts w:hint="eastAsia" w:ascii="宋体" w:hAnsi="宋体" w:eastAsia="宋体"/>
                <w:sz w:val="24"/>
                <w:szCs w:val="24"/>
              </w:rPr>
              <w:t>总价（人民币，大写）</w:t>
            </w:r>
          </w:p>
        </w:tc>
        <w:tc>
          <w:tcPr>
            <w:tcW w:w="6475" w:type="dxa"/>
            <w:gridSpan w:val="6"/>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widowControl/>
        <w:adjustRightInd w:val="0"/>
        <w:spacing w:line="360" w:lineRule="auto"/>
        <w:jc w:val="center"/>
        <w:rPr>
          <w:rFonts w:ascii="宋体" w:hAnsi="宋体" w:eastAsia="宋体"/>
          <w:b/>
          <w:sz w:val="24"/>
          <w:szCs w:val="24"/>
        </w:rPr>
      </w:pPr>
      <w:r>
        <w:rPr>
          <w:rFonts w:hint="eastAsia" w:ascii="宋体" w:hAnsi="宋体" w:eastAsia="宋体"/>
          <w:b/>
          <w:sz w:val="24"/>
          <w:szCs w:val="24"/>
        </w:rPr>
        <w:t>（二）商务条款偏离表格式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内控询价论证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napToGrid w:val="0"/>
        <w:spacing w:line="360" w:lineRule="auto"/>
        <w:rPr>
          <w:rFonts w:ascii="宋体" w:hAnsi="宋体" w:eastAsia="宋体"/>
          <w:b/>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（三）技术条款偏离表格式</w:t>
      </w:r>
    </w:p>
    <w:tbl>
      <w:tblPr>
        <w:tblStyle w:val="58"/>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内控询价论证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r>
        <w:rPr>
          <w:rFonts w:ascii="宋体" w:hAnsi="宋体" w:eastAsia="宋体"/>
          <w:sz w:val="24"/>
          <w:szCs w:val="24"/>
        </w:rPr>
        <w:br w:type="textWrapping"/>
      </w:r>
      <w:r>
        <w:rPr>
          <w:rFonts w:ascii="宋体" w:hAnsi="宋体" w:eastAsia="宋体"/>
          <w:sz w:val="24"/>
          <w:szCs w:val="24"/>
        </w:rPr>
        <w:br w:type="textWrapping"/>
      </w:r>
      <w:r>
        <w:rPr>
          <w:rFonts w:ascii="宋体" w:hAnsi="宋体" w:eastAsia="宋体"/>
          <w:sz w:val="24"/>
          <w:szCs w:val="24"/>
        </w:rPr>
        <w:br w:type="textWrapping"/>
      </w:r>
      <w:r>
        <w:rPr>
          <w:rFonts w:hint="eastAsia" w:ascii="宋体" w:hAnsi="宋体" w:eastAsia="宋体"/>
          <w:sz w:val="24"/>
          <w:szCs w:val="24"/>
        </w:rPr>
        <w:t>七、技术服务方案</w:t>
      </w:r>
    </w:p>
    <w:p>
      <w:pPr>
        <w:ind w:firstLine="480" w:firstLineChars="200"/>
        <w:rPr>
          <w:rFonts w:ascii="宋体" w:hAnsi="宋体" w:eastAsia="宋体"/>
          <w:sz w:val="24"/>
          <w:szCs w:val="24"/>
        </w:rPr>
      </w:pPr>
      <w:r>
        <w:rPr>
          <w:rFonts w:hint="eastAsia" w:ascii="宋体" w:hAnsi="宋体" w:eastAsia="宋体"/>
          <w:sz w:val="24"/>
          <w:szCs w:val="24"/>
        </w:rPr>
        <w:t>供应商结合需求提交相应的技术服务方案以及相关的报价</w:t>
      </w:r>
      <w:r>
        <w:rPr>
          <w:rFonts w:ascii="宋体" w:hAnsi="宋体" w:eastAsia="宋体"/>
          <w:sz w:val="24"/>
          <w:szCs w:val="24"/>
        </w:rPr>
        <w:br w:type="textWrapping"/>
      </w:r>
    </w:p>
    <w:p>
      <w:pPr>
        <w:widowControl/>
        <w:jc w:val="left"/>
        <w:rPr>
          <w:rFonts w:ascii="宋体" w:hAnsi="宋体" w:eastAsia="宋体"/>
          <w:sz w:val="21"/>
          <w:szCs w:val="21"/>
          <w:lang w:bidi="zh-CN"/>
        </w:rPr>
      </w:pPr>
      <w:r>
        <w:rPr>
          <w:rFonts w:ascii="宋体" w:hAnsi="宋体" w:eastAsia="宋体"/>
          <w:sz w:val="21"/>
          <w:szCs w:val="21"/>
          <w:lang w:bidi="zh-CN"/>
        </w:rPr>
        <w:br w:type="page"/>
      </w:r>
    </w:p>
    <w:p>
      <w:pPr>
        <w:tabs>
          <w:tab w:val="left" w:pos="7098"/>
        </w:tabs>
        <w:spacing w:line="560" w:lineRule="exact"/>
        <w:jc w:val="left"/>
        <w:rPr>
          <w:rFonts w:ascii="宋体" w:hAnsi="宋体" w:eastAsia="宋体"/>
          <w:sz w:val="21"/>
          <w:szCs w:val="21"/>
          <w:lang w:bidi="zh-CN"/>
        </w:rPr>
      </w:pPr>
      <w:r>
        <w:rPr>
          <w:rFonts w:hint="eastAsia" w:ascii="宋体" w:hAnsi="宋体" w:eastAsia="宋体"/>
          <w:sz w:val="21"/>
          <w:szCs w:val="21"/>
          <w:lang w:bidi="zh-CN"/>
        </w:rPr>
        <w:t>附：</w:t>
      </w:r>
      <w:r>
        <w:rPr>
          <w:rFonts w:hint="eastAsia" w:ascii="宋体" w:hAnsi="宋体" w:eastAsia="宋体"/>
          <w:b/>
          <w:sz w:val="21"/>
          <w:szCs w:val="21"/>
          <w:lang w:bidi="zh-CN"/>
        </w:rPr>
        <w:t>中小企业声明函格式</w:t>
      </w:r>
    </w:p>
    <w:p>
      <w:pPr>
        <w:widowControl/>
        <w:jc w:val="left"/>
        <w:rPr>
          <w:rFonts w:ascii="宋体" w:hAnsi="宋体" w:eastAsia="宋体"/>
          <w:sz w:val="21"/>
          <w:szCs w:val="21"/>
          <w:lang w:bidi="zh-CN"/>
        </w:rPr>
      </w:pPr>
      <w:bookmarkStart w:id="5" w:name="_Hlk66863893"/>
    </w:p>
    <w:p>
      <w:pPr>
        <w:tabs>
          <w:tab w:val="left" w:pos="7098"/>
        </w:tabs>
        <w:spacing w:line="560" w:lineRule="exact"/>
        <w:jc w:val="center"/>
        <w:rPr>
          <w:rFonts w:ascii="宋体" w:hAnsi="宋体" w:eastAsia="宋体"/>
          <w:b/>
          <w:bCs/>
          <w:sz w:val="21"/>
          <w:szCs w:val="21"/>
          <w:lang w:bidi="zh-CN"/>
        </w:rPr>
      </w:pPr>
      <w:r>
        <w:rPr>
          <w:rFonts w:hint="eastAsia" w:ascii="宋体" w:hAnsi="宋体" w:eastAsia="宋体"/>
          <w:b/>
          <w:bCs/>
          <w:sz w:val="21"/>
          <w:szCs w:val="21"/>
          <w:lang w:bidi="zh-CN"/>
        </w:rPr>
        <w:t>中小企业声明函（工程、服务）</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本公司（联合体）郑重声明，根据《政府采购促进中小企业发展管理办法》（财库﹝2020﹞46号）的规定，本公司（联合体）参加</w:t>
      </w:r>
      <w:r>
        <w:rPr>
          <w:rFonts w:ascii="宋体" w:hAnsi="宋体" w:eastAsia="宋体"/>
          <w:sz w:val="21"/>
          <w:szCs w:val="21"/>
          <w:u w:val="single"/>
          <w:lang w:bidi="zh-CN"/>
        </w:rPr>
        <w:t>（单位名称）</w:t>
      </w:r>
      <w:r>
        <w:rPr>
          <w:rFonts w:ascii="宋体" w:hAnsi="宋体" w:eastAsia="宋体"/>
          <w:sz w:val="21"/>
          <w:szCs w:val="21"/>
          <w:lang w:bidi="zh-CN"/>
        </w:rPr>
        <w:t>的</w:t>
      </w:r>
      <w:r>
        <w:rPr>
          <w:rFonts w:ascii="宋体" w:hAnsi="宋体" w:eastAsia="宋体"/>
          <w:sz w:val="21"/>
          <w:szCs w:val="21"/>
          <w:u w:val="single"/>
          <w:lang w:bidi="zh-CN"/>
        </w:rPr>
        <w:t>（项目名称）</w:t>
      </w:r>
      <w:r>
        <w:rPr>
          <w:rFonts w:ascii="宋体" w:hAnsi="宋体" w:eastAsia="宋体"/>
          <w:sz w:val="21"/>
          <w:szCs w:val="21"/>
          <w:lang w:bidi="zh-CN"/>
        </w:rPr>
        <w:t>询价论证活动，工程的施工单位全部为符合政策要求的中小企业（或者：服务 全部由符合政策要求的中小企业承接）。相关企业（含联合 体中的中小企业、签订分包意向协议的中小企业）的具体情况如下：</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1.</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hint="eastAsia" w:ascii="宋体" w:hAnsi="宋体" w:eastAsia="宋体"/>
          <w:sz w:val="21"/>
          <w:szCs w:val="21"/>
          <w:u w:val="single"/>
          <w:lang w:bidi="zh-CN"/>
        </w:rPr>
        <w:t xml:space="preserve"> </w:t>
      </w:r>
      <w:r>
        <w:rPr>
          <w:rFonts w:ascii="宋体" w:hAnsi="宋体" w:eastAsia="宋体"/>
          <w:sz w:val="21"/>
          <w:szCs w:val="21"/>
          <w:u w:val="single"/>
          <w:lang w:bidi="zh-CN"/>
        </w:rPr>
        <w:t xml:space="preserve"> </w:t>
      </w:r>
      <w:r>
        <w:rPr>
          <w:rFonts w:ascii="宋体" w:hAnsi="宋体" w:eastAsia="宋体"/>
          <w:sz w:val="21"/>
          <w:szCs w:val="21"/>
          <w:lang w:bidi="zh-CN"/>
        </w:rPr>
        <w:t>万元，属</w:t>
      </w:r>
      <w:r>
        <w:rPr>
          <w:rFonts w:hint="eastAsia" w:ascii="宋体" w:hAnsi="宋体" w:eastAsia="宋体"/>
          <w:sz w:val="21"/>
          <w:szCs w:val="21"/>
          <w:lang w:bidi="zh-CN"/>
        </w:rPr>
        <w:t>于</w:t>
      </w:r>
      <w:r>
        <w:rPr>
          <w:rFonts w:hint="eastAsia" w:ascii="宋体" w:hAnsi="宋体" w:eastAsia="宋体"/>
          <w:sz w:val="21"/>
          <w:szCs w:val="21"/>
          <w:u w:val="single"/>
          <w:lang w:bidi="zh-CN"/>
        </w:rPr>
        <w:t>（中型企业、</w:t>
      </w:r>
      <w:r>
        <w:rPr>
          <w:rFonts w:ascii="宋体" w:hAnsi="宋体" w:eastAsia="宋体"/>
          <w:sz w:val="21"/>
          <w:szCs w:val="21"/>
          <w:u w:val="single"/>
          <w:lang w:bidi="zh-CN"/>
        </w:rPr>
        <w:t xml:space="preserve">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2.</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ascii="宋体" w:hAnsi="宋体" w:eastAsia="宋体"/>
          <w:sz w:val="21"/>
          <w:szCs w:val="21"/>
          <w:u w:val="single"/>
          <w:lang w:bidi="zh-CN"/>
        </w:rPr>
        <w:t xml:space="preserve">  </w:t>
      </w:r>
      <w:r>
        <w:rPr>
          <w:rFonts w:ascii="宋体" w:hAnsi="宋体" w:eastAsia="宋体"/>
          <w:sz w:val="21"/>
          <w:szCs w:val="21"/>
          <w:lang w:bidi="zh-CN"/>
        </w:rPr>
        <w:t>万元，属于</w:t>
      </w:r>
      <w:r>
        <w:rPr>
          <w:rFonts w:ascii="宋体" w:hAnsi="宋体" w:eastAsia="宋体"/>
          <w:sz w:val="21"/>
          <w:szCs w:val="21"/>
          <w:u w:val="single"/>
          <w:lang w:bidi="zh-CN"/>
        </w:rPr>
        <w:t>（中型企业、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 ……</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以上企业，不属于大企业的分支机构，不存在控股股东 为大企业的情形，也不存在与大企业的负责人为同一人的情 形。</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本企业对上述声明内容的真实性负责。如有虚假，将依法承担相应责任。 </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企业名称（盖章）：</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日 期：</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1：从业人员、营业收入、资产总额填报上一年度数据，无上一年度数据的新成立企业可不填报。</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2：供应商如不提供此声明函，价格将不做相应扣除。</w:t>
      </w:r>
    </w:p>
    <w:p>
      <w:pPr>
        <w:tabs>
          <w:tab w:val="left" w:pos="7098"/>
        </w:tabs>
        <w:spacing w:line="560" w:lineRule="exact"/>
        <w:jc w:val="left"/>
        <w:rPr>
          <w:rFonts w:ascii="宋体" w:hAnsi="宋体" w:eastAsia="宋体"/>
          <w:b/>
          <w:bCs/>
          <w:sz w:val="21"/>
          <w:szCs w:val="21"/>
          <w:lang w:bidi="zh-CN"/>
        </w:rPr>
      </w:pPr>
      <w:r>
        <w:rPr>
          <w:rFonts w:hint="eastAsia" w:ascii="宋体" w:hAnsi="宋体" w:eastAsia="宋体"/>
          <w:b/>
          <w:bCs/>
          <w:sz w:val="21"/>
          <w:szCs w:val="21"/>
          <w:lang w:bidi="zh-CN"/>
        </w:rPr>
        <w:t>备注3：“中小企业划型标准”详见《关于印发中小企业划型标准规定的通知》工信部联企业〔</w:t>
      </w:r>
      <w:r>
        <w:rPr>
          <w:rFonts w:ascii="宋体" w:hAnsi="宋体" w:eastAsia="宋体"/>
          <w:b/>
          <w:bCs/>
          <w:sz w:val="21"/>
          <w:szCs w:val="21"/>
          <w:lang w:bidi="zh-CN"/>
        </w:rPr>
        <w:t>2011〕300号，供应商也可登录中华人民共和国工信部官网，使用“中小企业规模类型自测小程序”进行企业规模自测。</w:t>
      </w:r>
    </w:p>
    <w:bookmarkEnd w:id="5"/>
    <w:p>
      <w:pPr>
        <w:widowControl/>
        <w:adjustRightInd w:val="0"/>
        <w:spacing w:line="420" w:lineRule="auto"/>
        <w:ind w:firstLine="480" w:firstLineChars="200"/>
        <w:jc w:val="left"/>
        <w:rPr>
          <w:rFonts w:ascii="宋体" w:hAnsi="宋体" w:eastAsia="宋体"/>
          <w:sz w:val="24"/>
          <w:szCs w:val="24"/>
        </w:rPr>
      </w:pPr>
    </w:p>
    <w:p>
      <w:pPr>
        <w:rPr>
          <w:rFonts w:ascii="宋体" w:hAnsi="宋体" w:eastAsia="宋体"/>
          <w:sz w:val="24"/>
          <w:szCs w:val="24"/>
        </w:rPr>
      </w:pPr>
    </w:p>
    <w:p>
      <w:pPr>
        <w:pStyle w:val="2"/>
        <w:rPr>
          <w:rFonts w:eastAsiaTheme="minorEastAsia"/>
        </w:rPr>
      </w:pPr>
    </w:p>
    <w:p>
      <w:pPr>
        <w:rPr>
          <w:rFonts w:eastAsiaTheme="minorEastAsia"/>
        </w:rPr>
      </w:pPr>
    </w:p>
    <w:p>
      <w:pPr>
        <w:pStyle w:val="2"/>
        <w:rPr>
          <w:rFonts w:eastAsiaTheme="minorEastAsia"/>
        </w:rPr>
      </w:pPr>
    </w:p>
    <w:p>
      <w:pPr>
        <w:rPr>
          <w:rFonts w:eastAsiaTheme="minorEastAsia"/>
          <w:b/>
          <w:bCs/>
          <w:color w:val="FF0000"/>
        </w:rPr>
      </w:pPr>
      <w:r>
        <w:rPr>
          <w:rFonts w:hint="eastAsia" w:eastAsiaTheme="minorEastAsia"/>
          <w:b/>
          <w:bCs/>
        </w:rPr>
        <w:t xml:space="preserve">附件:报名报 </w:t>
      </w:r>
      <w:r>
        <w:rPr>
          <w:rFonts w:eastAsiaTheme="minorEastAsia"/>
          <w:b/>
          <w:bCs/>
        </w:rPr>
        <w:t xml:space="preserve">  </w:t>
      </w:r>
      <w:r>
        <w:rPr>
          <w:rFonts w:eastAsiaTheme="minorEastAsia"/>
          <w:b/>
          <w:bCs/>
          <w:color w:val="FF0000"/>
        </w:rPr>
        <w:t xml:space="preserve"> </w:t>
      </w:r>
      <w:r>
        <w:rPr>
          <w:rFonts w:hint="eastAsia" w:eastAsiaTheme="minorEastAsia"/>
          <w:b/>
          <w:bCs/>
          <w:color w:val="FF0000"/>
        </w:rPr>
        <w:t>请意向参与者务必截止日前将报名表发至邮箱：</w:t>
      </w:r>
      <w:r>
        <w:rPr>
          <w:rFonts w:hint="eastAsia" w:eastAsiaTheme="minorEastAsia"/>
          <w:b/>
          <w:bCs/>
          <w:color w:val="FF0000"/>
          <w:lang w:val="en-US"/>
        </w:rPr>
        <w:t>jnyyxxc</w:t>
      </w:r>
      <w:r>
        <w:rPr>
          <w:rFonts w:hint="eastAsia" w:eastAsiaTheme="minorEastAsia"/>
          <w:b/>
          <w:bCs/>
          <w:color w:val="FF0000"/>
        </w:rPr>
        <w:t>@163.com</w:t>
      </w:r>
    </w:p>
    <w:p>
      <w:pPr>
        <w:rPr>
          <w:rFonts w:eastAsiaTheme="minorEastAsia"/>
          <w:b/>
          <w:bCs/>
        </w:rPr>
      </w:pPr>
      <w:r>
        <w:rPr>
          <w:rFonts w:eastAsiaTheme="minorEastAsia"/>
          <w:b/>
          <w:bCs/>
          <w:color w:val="FF0000"/>
        </w:rPr>
        <w:br w:type="textWrapping"/>
      </w:r>
    </w:p>
    <w:p>
      <w:pPr>
        <w:pStyle w:val="2"/>
        <w:rPr>
          <w:rFonts w:eastAsiaTheme="minorEastAsia"/>
        </w:rPr>
      </w:pPr>
    </w:p>
    <w:p>
      <w:pPr>
        <w:rPr>
          <w:rFonts w:eastAsiaTheme="minorEastAsia"/>
          <w:b/>
          <w:bCs/>
          <w:sz w:val="32"/>
          <w:szCs w:val="32"/>
        </w:rPr>
      </w:pPr>
      <w:r>
        <w:rPr>
          <w:rFonts w:hint="eastAsia" w:eastAsiaTheme="minorEastAsia"/>
        </w:rPr>
        <w:t xml:space="preserve"> </w:t>
      </w:r>
      <w:r>
        <w:rPr>
          <w:rFonts w:eastAsiaTheme="minorEastAsia"/>
        </w:rPr>
        <w:t xml:space="preserve">                              </w:t>
      </w:r>
      <w:r>
        <w:rPr>
          <w:rFonts w:eastAsiaTheme="minorEastAsia"/>
          <w:b/>
          <w:bCs/>
          <w:sz w:val="32"/>
          <w:szCs w:val="32"/>
        </w:rPr>
        <w:t xml:space="preserve">         </w:t>
      </w:r>
      <w:r>
        <w:rPr>
          <w:rFonts w:hint="eastAsia" w:eastAsiaTheme="minorEastAsia"/>
          <w:b/>
          <w:bCs/>
          <w:sz w:val="32"/>
          <w:szCs w:val="32"/>
        </w:rPr>
        <w:t>报名表</w:t>
      </w:r>
      <w:r>
        <w:rPr>
          <w:rFonts w:eastAsiaTheme="minorEastAsia"/>
          <w:b/>
          <w:bCs/>
          <w:sz w:val="32"/>
          <w:szCs w:val="32"/>
        </w:rPr>
        <w:br w:type="textWrapping"/>
      </w:r>
      <w:r>
        <w:rPr>
          <w:rFonts w:eastAsiaTheme="minorEastAsia"/>
          <w:b/>
          <w:bCs/>
          <w:sz w:val="32"/>
          <w:szCs w:val="32"/>
        </w:rPr>
        <w:br w:type="textWrapping"/>
      </w:r>
      <w:r>
        <w:rPr>
          <w:rFonts w:hint="eastAsia" w:eastAsiaTheme="minorEastAsia"/>
          <w:b/>
          <w:bCs/>
          <w:sz w:val="32"/>
          <w:szCs w:val="32"/>
        </w:rPr>
        <w:t>致:南京市江宁医院</w:t>
      </w:r>
      <w:r>
        <w:rPr>
          <w:rFonts w:eastAsiaTheme="minorEastAsia"/>
          <w:b/>
          <w:bCs/>
          <w:sz w:val="32"/>
          <w:szCs w:val="32"/>
        </w:rPr>
        <w:br w:type="textWrapping"/>
      </w:r>
    </w:p>
    <w:p>
      <w:pPr>
        <w:pStyle w:val="2"/>
        <w:ind w:left="0"/>
        <w:rPr>
          <w:rFonts w:eastAsiaTheme="minorEastAsia"/>
        </w:rPr>
      </w:pPr>
      <w:r>
        <w:rPr>
          <w:rFonts w:hint="eastAsia" w:eastAsiaTheme="minorEastAsia"/>
        </w:rPr>
        <w:t xml:space="preserve"> </w:t>
      </w:r>
      <w:r>
        <w:rPr>
          <w:rFonts w:eastAsiaTheme="minorEastAsia"/>
        </w:rPr>
        <w:t xml:space="preserve">      </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pStyle w:val="2"/>
        <w:rPr>
          <w:rFonts w:eastAsiaTheme="minorEastAsia"/>
        </w:rPr>
      </w:pPr>
    </w:p>
    <w:p>
      <w:pPr>
        <w:rPr>
          <w:rFonts w:eastAsiaTheme="minorEastAsia"/>
        </w:rPr>
      </w:pPr>
      <w:r>
        <w:rPr>
          <w:rFonts w:eastAsiaTheme="minorEastAsia"/>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供应商名称</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公司地址</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项目授权代表</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联系方式</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参与人数(不高于2</w:t>
            </w:r>
            <w:r>
              <w:rPr>
                <w:rFonts w:eastAsiaTheme="minorEastAsia"/>
                <w:szCs w:val="22"/>
                <w:lang w:eastAsia="en-US"/>
              </w:rPr>
              <w:t xml:space="preserve"> </w:t>
            </w:r>
            <w:r>
              <w:rPr>
                <w:rFonts w:hint="eastAsia" w:eastAsiaTheme="minorEastAsia"/>
                <w:szCs w:val="22"/>
                <w:lang w:eastAsia="en-US"/>
              </w:rPr>
              <w:t>人)</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3" w:type="dxa"/>
          </w:tcPr>
          <w:p>
            <w:pPr>
              <w:autoSpaceDE w:val="0"/>
              <w:autoSpaceDN w:val="0"/>
              <w:rPr>
                <w:rFonts w:eastAsiaTheme="minorEastAsia"/>
                <w:szCs w:val="22"/>
                <w:lang w:eastAsia="zh-CN"/>
              </w:rPr>
            </w:pPr>
            <w:r>
              <w:rPr>
                <w:rFonts w:hint="eastAsia" w:eastAsiaTheme="minorEastAsia"/>
                <w:szCs w:val="22"/>
                <w:lang w:eastAsia="zh-CN"/>
              </w:rPr>
              <w:t>项目询价论证答疑时间</w:t>
            </w:r>
          </w:p>
        </w:tc>
        <w:tc>
          <w:tcPr>
            <w:tcW w:w="4253" w:type="dxa"/>
          </w:tcPr>
          <w:p>
            <w:pPr>
              <w:autoSpaceDE w:val="0"/>
              <w:autoSpaceDN w:val="0"/>
              <w:rPr>
                <w:rFonts w:eastAsiaTheme="minorEastAsia"/>
                <w:szCs w:val="22"/>
                <w:lang w:eastAsia="en-US"/>
              </w:rPr>
            </w:pPr>
            <w:r>
              <w:rPr>
                <w:rFonts w:hint="eastAsia" w:eastAsiaTheme="minorEastAsia"/>
                <w:szCs w:val="22"/>
                <w:lang w:eastAsia="en-US"/>
              </w:rPr>
              <w:t>2</w:t>
            </w:r>
            <w:r>
              <w:rPr>
                <w:rFonts w:eastAsiaTheme="minorEastAsia"/>
                <w:szCs w:val="22"/>
                <w:lang w:eastAsia="en-US"/>
              </w:rPr>
              <w:t>023</w:t>
            </w:r>
            <w:r>
              <w:rPr>
                <w:rFonts w:hint="eastAsia" w:eastAsiaTheme="minorEastAsia"/>
                <w:szCs w:val="22"/>
                <w:lang w:eastAsia="en-US"/>
              </w:rPr>
              <w:t>年</w:t>
            </w:r>
            <w:r>
              <w:rPr>
                <w:rFonts w:hint="eastAsia" w:eastAsiaTheme="minorEastAsia"/>
                <w:szCs w:val="22"/>
                <w:lang w:val="en-US" w:eastAsia="zh-CN"/>
              </w:rPr>
              <w:t>11</w:t>
            </w:r>
            <w:r>
              <w:rPr>
                <w:rFonts w:hint="eastAsia" w:eastAsiaTheme="minorEastAsia"/>
                <w:szCs w:val="22"/>
                <w:lang w:eastAsia="en-US"/>
              </w:rPr>
              <w:t>月</w:t>
            </w:r>
            <w:r>
              <w:rPr>
                <w:rFonts w:hint="eastAsia" w:eastAsiaTheme="minorEastAsia"/>
                <w:szCs w:val="22"/>
                <w:lang w:val="en-US" w:eastAsia="zh-CN"/>
              </w:rPr>
              <w:t>7</w:t>
            </w:r>
            <w:r>
              <w:rPr>
                <w:rFonts w:hint="eastAsia" w:eastAsiaTheme="minorEastAsia"/>
                <w:szCs w:val="22"/>
                <w:lang w:eastAsia="en-US"/>
              </w:rPr>
              <w:t>日1</w:t>
            </w:r>
            <w:r>
              <w:rPr>
                <w:rFonts w:hint="eastAsia" w:eastAsiaTheme="minorEastAsia"/>
                <w:szCs w:val="22"/>
                <w:lang w:val="en-US" w:eastAsia="zh-CN"/>
              </w:rPr>
              <w:t>6</w:t>
            </w:r>
            <w:bookmarkStart w:id="7" w:name="_GoBack"/>
            <w:bookmarkEnd w:id="7"/>
            <w:r>
              <w:rPr>
                <w:rFonts w:hint="eastAsia" w:eastAsiaTheme="minorEastAsia"/>
                <w:szCs w:val="22"/>
                <w:lang w:eastAsia="en-US"/>
              </w:rPr>
              <w:t>:</w:t>
            </w:r>
            <w:r>
              <w:rPr>
                <w:rFonts w:eastAsiaTheme="minorEastAsia"/>
                <w:szCs w:val="22"/>
                <w:lang w:eastAsia="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是否参与项目答疑</w:t>
            </w:r>
          </w:p>
        </w:tc>
        <w:tc>
          <w:tcPr>
            <w:tcW w:w="4253" w:type="dxa"/>
          </w:tcPr>
          <w:p>
            <w:pPr>
              <w:autoSpaceDE w:val="0"/>
              <w:autoSpaceDN w:val="0"/>
              <w:rPr>
                <w:rFonts w:eastAsiaTheme="minorEastAsia"/>
                <w:szCs w:val="22"/>
                <w:lang w:eastAsia="en-US"/>
              </w:rPr>
            </w:pPr>
          </w:p>
        </w:tc>
      </w:tr>
    </w:tbl>
    <w:p>
      <w:pPr>
        <w:rPr>
          <w:rFonts w:eastAsiaTheme="minorEastAsia"/>
        </w:rPr>
      </w:pPr>
    </w:p>
    <w:p>
      <w:pPr>
        <w:pStyle w:val="2"/>
        <w:rPr>
          <w:rFonts w:eastAsiaTheme="minorEastAsia"/>
        </w:rPr>
      </w:pPr>
    </w:p>
    <w:p>
      <w:pPr>
        <w:rPr>
          <w:rFonts w:eastAsiaTheme="minorEastAsia"/>
        </w:rPr>
      </w:pPr>
    </w:p>
    <w:p>
      <w:pPr>
        <w:pStyle w:val="2"/>
        <w:rPr>
          <w:rFonts w:eastAsiaTheme="minorEastAsia"/>
        </w:rPr>
      </w:pPr>
      <w:r>
        <w:rPr>
          <w:rFonts w:hint="eastAsia" w:eastAsiaTheme="minorEastAsia"/>
        </w:rPr>
        <w:t xml:space="preserve"> </w:t>
      </w:r>
      <w:r>
        <w:rPr>
          <w:rFonts w:eastAsiaTheme="minorEastAsia"/>
        </w:rPr>
        <w:t xml:space="preserve">                                          </w:t>
      </w:r>
      <w:r>
        <w:rPr>
          <w:rFonts w:hint="eastAsia" w:eastAsiaTheme="minorEastAsia"/>
        </w:rPr>
        <w:t>供应商名称:(盖章)</w:t>
      </w:r>
    </w:p>
    <w:p>
      <w:pPr>
        <w:pStyle w:val="2"/>
        <w:rPr>
          <w:rFonts w:eastAsiaTheme="minorEastAsia"/>
        </w:rPr>
      </w:pPr>
      <w:r>
        <w:rPr>
          <w:rFonts w:eastAsiaTheme="minorEastAsia"/>
        </w:rPr>
        <w:t xml:space="preserve">                                           </w:t>
      </w:r>
      <w:r>
        <w:rPr>
          <w:rFonts w:hint="eastAsia" w:eastAsiaTheme="minorEastAsia"/>
        </w:rPr>
        <w:t>报名时间:</w:t>
      </w:r>
      <w:r>
        <w:rPr>
          <w:rFonts w:eastAsiaTheme="minorEastAsia"/>
        </w:rPr>
        <w:br w:type="textWrapping"/>
      </w:r>
      <w:r>
        <w:rPr>
          <w:rFonts w:eastAsiaTheme="minorEastAsia"/>
        </w:rPr>
        <w:br w:type="textWrapping"/>
      </w:r>
      <w:r>
        <w:rPr>
          <w:rFonts w:eastAsiaTheme="minorEastAsia"/>
        </w:rPr>
        <w:br w:type="textWrapping"/>
      </w:r>
      <w:r>
        <w:rPr>
          <w:rFonts w:hint="eastAsia" w:eastAsiaTheme="minorEastAsia"/>
        </w:rPr>
        <w:t>附件:营业执照及授权代表身份证复印件一份,</w:t>
      </w:r>
      <w:r>
        <w:rPr>
          <w:rFonts w:eastAsiaTheme="minorEastAsia"/>
        </w:rPr>
        <w:t xml:space="preserve"> </w:t>
      </w:r>
      <w:r>
        <w:rPr>
          <w:rFonts w:hint="eastAsia" w:eastAsiaTheme="minorEastAsia"/>
        </w:rPr>
        <w:t>加盖公章</w:t>
      </w:r>
      <w:r>
        <w:rPr>
          <w:rFonts w:hint="eastAsia" w:eastAsiaTheme="minorEastAsia"/>
          <w:sz w:val="21"/>
          <w:szCs w:val="21"/>
        </w:rPr>
        <w:t>.</w:t>
      </w:r>
      <w:r>
        <w:rPr>
          <w:rFonts w:eastAsiaTheme="minorEastAsia"/>
          <w:sz w:val="21"/>
          <w:szCs w:val="21"/>
        </w:rPr>
        <w:br w:type="textWrapping"/>
      </w:r>
    </w:p>
    <w:p>
      <w:pPr>
        <w:pStyle w:val="2"/>
        <w:rPr>
          <w:rFonts w:eastAsiaTheme="minorEastAsia"/>
        </w:rPr>
      </w:pPr>
    </w:p>
    <w:p>
      <w:pPr>
        <w:pStyle w:val="2"/>
        <w:rPr>
          <w:rFonts w:eastAsiaTheme="minorEastAsia"/>
        </w:rPr>
      </w:pPr>
    </w:p>
    <w:p>
      <w:pPr>
        <w:pStyle w:val="2"/>
        <w:rPr>
          <w:rFonts w:eastAsiaTheme="minorEastAsia"/>
        </w:rPr>
        <w:sectPr>
          <w:headerReference r:id="rId8" w:type="default"/>
          <w:footerReference r:id="rId9" w:type="default"/>
          <w:footerReference r:id="rId10" w:type="even"/>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6" w:name="_Toc476153619"/>
      <w:r>
        <w:rPr>
          <w:rFonts w:hint="eastAsia" w:ascii="仿宋" w:hAnsi="仿宋" w:eastAsia="仿宋" w:cs="Times New Roman"/>
          <w:b/>
          <w:sz w:val="30"/>
          <w:szCs w:val="30"/>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p>
      <w:pPr>
        <w:pStyle w:val="2"/>
        <w:rPr>
          <w:rFonts w:eastAsiaTheme="minorEastAsia"/>
          <w:lang w:bidi="zh-CN"/>
        </w:rPr>
      </w:pPr>
    </w:p>
    <w:p>
      <w:pPr>
        <w:rPr>
          <w:rFonts w:eastAsiaTheme="minorEastAsia"/>
          <w:lang w:bidi="zh-CN"/>
        </w:rPr>
      </w:pPr>
    </w:p>
    <w:p>
      <w:pPr>
        <w:pStyle w:val="2"/>
        <w:rPr>
          <w:rFonts w:eastAsiaTheme="minorEastAsia"/>
          <w:lang w:bidi="zh-CN"/>
        </w:rPr>
      </w:pPr>
    </w:p>
    <w:p>
      <w:pPr>
        <w:pStyle w:val="2"/>
        <w:ind w:left="0"/>
        <w:rPr>
          <w:rFonts w:eastAsiaTheme="minorEastAsia"/>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w:t>
        </w:r>
        <w:r>
          <w:fldChar w:fldCharType="end"/>
        </w:r>
      </w:p>
    </w:sdtContent>
  </w:sdt>
  <w:p>
    <w:pPr>
      <w:pStyle w:val="35"/>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separate"/>
    </w:r>
    <w:r>
      <w:rPr>
        <w:rStyle w:val="63"/>
      </w:rPr>
      <w:t>19</w:t>
    </w:r>
    <w:r>
      <w:rPr>
        <w:rStyle w:val="63"/>
      </w:rP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173FF"/>
    <w:multiLevelType w:val="multilevel"/>
    <w:tmpl w:val="0CC173F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0"/>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BE6617E"/>
    <w:multiLevelType w:val="multilevel"/>
    <w:tmpl w:val="2BE6617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F724E3"/>
    <w:multiLevelType w:val="singleLevel"/>
    <w:tmpl w:val="2DF724E3"/>
    <w:lvl w:ilvl="0" w:tentative="0">
      <w:start w:val="1"/>
      <w:numFmt w:val="decimal"/>
      <w:lvlText w:val="%1."/>
      <w:lvlJc w:val="left"/>
      <w:pPr>
        <w:tabs>
          <w:tab w:val="left" w:pos="312"/>
        </w:tabs>
      </w:pPr>
    </w:lvl>
  </w:abstractNum>
  <w:abstractNum w:abstractNumId="4">
    <w:nsid w:val="2F9A6741"/>
    <w:multiLevelType w:val="multilevel"/>
    <w:tmpl w:val="2F9A674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0"/>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9E1C16"/>
    <w:multiLevelType w:val="multilevel"/>
    <w:tmpl w:val="329E1C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B31A5E"/>
    <w:multiLevelType w:val="multilevel"/>
    <w:tmpl w:val="37B31A5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9">
    <w:nsid w:val="56AF3A38"/>
    <w:multiLevelType w:val="multilevel"/>
    <w:tmpl w:val="56AF3A3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1">
    <w:nsid w:val="5C781ED4"/>
    <w:multiLevelType w:val="multilevel"/>
    <w:tmpl w:val="5C781E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0"/>
      <w:numFmt w:val="bullet"/>
      <w:lvlText w:val="▲"/>
      <w:lvlJc w:val="left"/>
      <w:pPr>
        <w:ind w:left="1200" w:hanging="360"/>
      </w:pPr>
      <w:rPr>
        <w:rFonts w:hint="eastAsia"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400009"/>
    <w:multiLevelType w:val="multilevel"/>
    <w:tmpl w:val="694000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D4B71C3"/>
    <w:multiLevelType w:val="multilevel"/>
    <w:tmpl w:val="7D4B71C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8"/>
  </w:num>
  <w:num w:numId="3">
    <w:abstractNumId w:val="7"/>
  </w:num>
  <w:num w:numId="4">
    <w:abstractNumId w:val="1"/>
  </w:num>
  <w:num w:numId="5">
    <w:abstractNumId w:val="3"/>
  </w:num>
  <w:num w:numId="6">
    <w:abstractNumId w:val="9"/>
  </w:num>
  <w:num w:numId="7">
    <w:abstractNumId w:val="6"/>
  </w:num>
  <w:num w:numId="8">
    <w:abstractNumId w:val="2"/>
  </w:num>
  <w:num w:numId="9">
    <w:abstractNumId w:val="4"/>
  </w:num>
  <w:num w:numId="10">
    <w:abstractNumId w:val="11"/>
  </w:num>
  <w:num w:numId="11">
    <w:abstractNumId w:val="0"/>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5E3037"/>
    <w:rsid w:val="00001C73"/>
    <w:rsid w:val="000200C0"/>
    <w:rsid w:val="00023042"/>
    <w:rsid w:val="000238AE"/>
    <w:rsid w:val="0003214A"/>
    <w:rsid w:val="0003371F"/>
    <w:rsid w:val="00056909"/>
    <w:rsid w:val="00074CA3"/>
    <w:rsid w:val="00076558"/>
    <w:rsid w:val="00081ABC"/>
    <w:rsid w:val="000A2DA0"/>
    <w:rsid w:val="000C7A04"/>
    <w:rsid w:val="000D093B"/>
    <w:rsid w:val="000E05B4"/>
    <w:rsid w:val="000F70FB"/>
    <w:rsid w:val="00140A13"/>
    <w:rsid w:val="00147DCB"/>
    <w:rsid w:val="00151DDF"/>
    <w:rsid w:val="00153C27"/>
    <w:rsid w:val="0016494C"/>
    <w:rsid w:val="00170BF3"/>
    <w:rsid w:val="001766E5"/>
    <w:rsid w:val="00186EDC"/>
    <w:rsid w:val="00191BA0"/>
    <w:rsid w:val="00195083"/>
    <w:rsid w:val="001A0EED"/>
    <w:rsid w:val="001A59EA"/>
    <w:rsid w:val="001C2C99"/>
    <w:rsid w:val="001E018C"/>
    <w:rsid w:val="001E229B"/>
    <w:rsid w:val="001E2F1F"/>
    <w:rsid w:val="001F5E9A"/>
    <w:rsid w:val="002070AA"/>
    <w:rsid w:val="00211D90"/>
    <w:rsid w:val="0022296F"/>
    <w:rsid w:val="00225837"/>
    <w:rsid w:val="00243F24"/>
    <w:rsid w:val="002522BC"/>
    <w:rsid w:val="002729D0"/>
    <w:rsid w:val="0028400B"/>
    <w:rsid w:val="00284DA9"/>
    <w:rsid w:val="00292BE8"/>
    <w:rsid w:val="002A25B5"/>
    <w:rsid w:val="002C19DA"/>
    <w:rsid w:val="002C2948"/>
    <w:rsid w:val="002D7C87"/>
    <w:rsid w:val="002F3C04"/>
    <w:rsid w:val="002F49B1"/>
    <w:rsid w:val="0031050D"/>
    <w:rsid w:val="00311831"/>
    <w:rsid w:val="00313077"/>
    <w:rsid w:val="00325489"/>
    <w:rsid w:val="003375B7"/>
    <w:rsid w:val="00364DEC"/>
    <w:rsid w:val="003662BD"/>
    <w:rsid w:val="00380AD5"/>
    <w:rsid w:val="00381991"/>
    <w:rsid w:val="0038403A"/>
    <w:rsid w:val="003A5D47"/>
    <w:rsid w:val="003C1BE6"/>
    <w:rsid w:val="003C2828"/>
    <w:rsid w:val="003C3FEA"/>
    <w:rsid w:val="003C5AF2"/>
    <w:rsid w:val="003F0311"/>
    <w:rsid w:val="00401F70"/>
    <w:rsid w:val="00406507"/>
    <w:rsid w:val="00407786"/>
    <w:rsid w:val="00410834"/>
    <w:rsid w:val="00416418"/>
    <w:rsid w:val="0042218A"/>
    <w:rsid w:val="004270A1"/>
    <w:rsid w:val="0043415B"/>
    <w:rsid w:val="004432D2"/>
    <w:rsid w:val="004537A3"/>
    <w:rsid w:val="00461C42"/>
    <w:rsid w:val="0047222C"/>
    <w:rsid w:val="00480551"/>
    <w:rsid w:val="00481BBE"/>
    <w:rsid w:val="004867EE"/>
    <w:rsid w:val="00487ED0"/>
    <w:rsid w:val="00496405"/>
    <w:rsid w:val="004A1859"/>
    <w:rsid w:val="004A3CA7"/>
    <w:rsid w:val="004B08A7"/>
    <w:rsid w:val="004B2552"/>
    <w:rsid w:val="004C2772"/>
    <w:rsid w:val="004C45FC"/>
    <w:rsid w:val="004C7881"/>
    <w:rsid w:val="004E13C0"/>
    <w:rsid w:val="004F64ED"/>
    <w:rsid w:val="00517F6D"/>
    <w:rsid w:val="00534A80"/>
    <w:rsid w:val="00547664"/>
    <w:rsid w:val="00572F7A"/>
    <w:rsid w:val="00577BA5"/>
    <w:rsid w:val="005840CC"/>
    <w:rsid w:val="005B5643"/>
    <w:rsid w:val="005B58E5"/>
    <w:rsid w:val="005E3037"/>
    <w:rsid w:val="005E3341"/>
    <w:rsid w:val="005E7E69"/>
    <w:rsid w:val="00603E70"/>
    <w:rsid w:val="0060519D"/>
    <w:rsid w:val="00605470"/>
    <w:rsid w:val="00607933"/>
    <w:rsid w:val="00617FAB"/>
    <w:rsid w:val="00620FA2"/>
    <w:rsid w:val="00621393"/>
    <w:rsid w:val="006363CA"/>
    <w:rsid w:val="006471DC"/>
    <w:rsid w:val="00665AC9"/>
    <w:rsid w:val="00666114"/>
    <w:rsid w:val="006A50FC"/>
    <w:rsid w:val="006A5AEA"/>
    <w:rsid w:val="006B7064"/>
    <w:rsid w:val="006C2433"/>
    <w:rsid w:val="006C3292"/>
    <w:rsid w:val="006D0C5A"/>
    <w:rsid w:val="006D10C0"/>
    <w:rsid w:val="006E5586"/>
    <w:rsid w:val="006F5101"/>
    <w:rsid w:val="00714621"/>
    <w:rsid w:val="00721F03"/>
    <w:rsid w:val="00742122"/>
    <w:rsid w:val="00743205"/>
    <w:rsid w:val="007557F4"/>
    <w:rsid w:val="0075747B"/>
    <w:rsid w:val="007635D4"/>
    <w:rsid w:val="00777D9E"/>
    <w:rsid w:val="00780805"/>
    <w:rsid w:val="0078294B"/>
    <w:rsid w:val="00784E4C"/>
    <w:rsid w:val="00796748"/>
    <w:rsid w:val="007A4720"/>
    <w:rsid w:val="007A5C94"/>
    <w:rsid w:val="007D0CCE"/>
    <w:rsid w:val="007D2C1E"/>
    <w:rsid w:val="007D5C14"/>
    <w:rsid w:val="007F6633"/>
    <w:rsid w:val="00804422"/>
    <w:rsid w:val="00815673"/>
    <w:rsid w:val="00815E04"/>
    <w:rsid w:val="00817406"/>
    <w:rsid w:val="00834881"/>
    <w:rsid w:val="00854181"/>
    <w:rsid w:val="00855A87"/>
    <w:rsid w:val="00861EF6"/>
    <w:rsid w:val="00867646"/>
    <w:rsid w:val="00875CB3"/>
    <w:rsid w:val="00877A72"/>
    <w:rsid w:val="008A6535"/>
    <w:rsid w:val="008B7F6F"/>
    <w:rsid w:val="008C0BE5"/>
    <w:rsid w:val="008C3E6B"/>
    <w:rsid w:val="008D1FAD"/>
    <w:rsid w:val="008D3DB0"/>
    <w:rsid w:val="008D5812"/>
    <w:rsid w:val="008D58D5"/>
    <w:rsid w:val="008E1BCF"/>
    <w:rsid w:val="008E2F81"/>
    <w:rsid w:val="0090544F"/>
    <w:rsid w:val="00910587"/>
    <w:rsid w:val="00912CEF"/>
    <w:rsid w:val="009143C5"/>
    <w:rsid w:val="009279C7"/>
    <w:rsid w:val="00935974"/>
    <w:rsid w:val="00935E52"/>
    <w:rsid w:val="00943C30"/>
    <w:rsid w:val="009508D5"/>
    <w:rsid w:val="00990AA1"/>
    <w:rsid w:val="009A0DB5"/>
    <w:rsid w:val="009A4F87"/>
    <w:rsid w:val="009B43D6"/>
    <w:rsid w:val="009B7D99"/>
    <w:rsid w:val="009F19F6"/>
    <w:rsid w:val="009F59CC"/>
    <w:rsid w:val="00A063CA"/>
    <w:rsid w:val="00A17538"/>
    <w:rsid w:val="00A441E7"/>
    <w:rsid w:val="00A451E9"/>
    <w:rsid w:val="00A718E8"/>
    <w:rsid w:val="00A75484"/>
    <w:rsid w:val="00A8231E"/>
    <w:rsid w:val="00A8610F"/>
    <w:rsid w:val="00A927BD"/>
    <w:rsid w:val="00AA5BC4"/>
    <w:rsid w:val="00AB5971"/>
    <w:rsid w:val="00AB6688"/>
    <w:rsid w:val="00AC075B"/>
    <w:rsid w:val="00AC080B"/>
    <w:rsid w:val="00AE14BE"/>
    <w:rsid w:val="00AE16E5"/>
    <w:rsid w:val="00AE497A"/>
    <w:rsid w:val="00AF00CB"/>
    <w:rsid w:val="00AF127F"/>
    <w:rsid w:val="00AF254A"/>
    <w:rsid w:val="00B00CFB"/>
    <w:rsid w:val="00B056B5"/>
    <w:rsid w:val="00B1260B"/>
    <w:rsid w:val="00B14D73"/>
    <w:rsid w:val="00B2008D"/>
    <w:rsid w:val="00B259A4"/>
    <w:rsid w:val="00B27770"/>
    <w:rsid w:val="00B31084"/>
    <w:rsid w:val="00B33B9C"/>
    <w:rsid w:val="00B34B43"/>
    <w:rsid w:val="00B47CE1"/>
    <w:rsid w:val="00B6686E"/>
    <w:rsid w:val="00B71AB9"/>
    <w:rsid w:val="00B72C7F"/>
    <w:rsid w:val="00B7529A"/>
    <w:rsid w:val="00B80543"/>
    <w:rsid w:val="00B8159A"/>
    <w:rsid w:val="00B87D78"/>
    <w:rsid w:val="00BB0351"/>
    <w:rsid w:val="00BC5CCD"/>
    <w:rsid w:val="00BC79FE"/>
    <w:rsid w:val="00BE1BBB"/>
    <w:rsid w:val="00BF42C8"/>
    <w:rsid w:val="00BF75B0"/>
    <w:rsid w:val="00C169C2"/>
    <w:rsid w:val="00C2149B"/>
    <w:rsid w:val="00C27550"/>
    <w:rsid w:val="00C54221"/>
    <w:rsid w:val="00C61EAF"/>
    <w:rsid w:val="00C82F75"/>
    <w:rsid w:val="00C83081"/>
    <w:rsid w:val="00C91F46"/>
    <w:rsid w:val="00C94F8C"/>
    <w:rsid w:val="00CB4930"/>
    <w:rsid w:val="00CC0B22"/>
    <w:rsid w:val="00CE0C79"/>
    <w:rsid w:val="00CE6C6E"/>
    <w:rsid w:val="00CF2EFA"/>
    <w:rsid w:val="00CF5C96"/>
    <w:rsid w:val="00CF6A5C"/>
    <w:rsid w:val="00CF7EAB"/>
    <w:rsid w:val="00D04D01"/>
    <w:rsid w:val="00D117C5"/>
    <w:rsid w:val="00D12545"/>
    <w:rsid w:val="00D138C5"/>
    <w:rsid w:val="00D147F7"/>
    <w:rsid w:val="00D1737B"/>
    <w:rsid w:val="00D31976"/>
    <w:rsid w:val="00D3296F"/>
    <w:rsid w:val="00D371E7"/>
    <w:rsid w:val="00D50108"/>
    <w:rsid w:val="00D55278"/>
    <w:rsid w:val="00D5785C"/>
    <w:rsid w:val="00D64E6E"/>
    <w:rsid w:val="00D85538"/>
    <w:rsid w:val="00DA28DD"/>
    <w:rsid w:val="00DA3A34"/>
    <w:rsid w:val="00DC6A1D"/>
    <w:rsid w:val="00DC7859"/>
    <w:rsid w:val="00DD2261"/>
    <w:rsid w:val="00DD6898"/>
    <w:rsid w:val="00DE4863"/>
    <w:rsid w:val="00DE5327"/>
    <w:rsid w:val="00DF18DB"/>
    <w:rsid w:val="00E024DE"/>
    <w:rsid w:val="00E1540F"/>
    <w:rsid w:val="00E2192D"/>
    <w:rsid w:val="00E21FBA"/>
    <w:rsid w:val="00E3038D"/>
    <w:rsid w:val="00E347A0"/>
    <w:rsid w:val="00E55E99"/>
    <w:rsid w:val="00E6418D"/>
    <w:rsid w:val="00E64A3C"/>
    <w:rsid w:val="00E7320F"/>
    <w:rsid w:val="00E73BFB"/>
    <w:rsid w:val="00E806A1"/>
    <w:rsid w:val="00E84CB8"/>
    <w:rsid w:val="00E8695C"/>
    <w:rsid w:val="00E919CB"/>
    <w:rsid w:val="00EA032D"/>
    <w:rsid w:val="00EA21C6"/>
    <w:rsid w:val="00EA71B1"/>
    <w:rsid w:val="00EB0045"/>
    <w:rsid w:val="00EB3C48"/>
    <w:rsid w:val="00EB7356"/>
    <w:rsid w:val="00EC12B2"/>
    <w:rsid w:val="00ED6191"/>
    <w:rsid w:val="00F07F66"/>
    <w:rsid w:val="00F117A9"/>
    <w:rsid w:val="00F43C6A"/>
    <w:rsid w:val="00F50560"/>
    <w:rsid w:val="00F556C2"/>
    <w:rsid w:val="00F55E4C"/>
    <w:rsid w:val="00F6268C"/>
    <w:rsid w:val="00F8110D"/>
    <w:rsid w:val="00FC029A"/>
    <w:rsid w:val="00FE03AE"/>
    <w:rsid w:val="00FE6FEE"/>
    <w:rsid w:val="016051C5"/>
    <w:rsid w:val="01916F70"/>
    <w:rsid w:val="01933F6D"/>
    <w:rsid w:val="01DD0E47"/>
    <w:rsid w:val="023707B7"/>
    <w:rsid w:val="02F537C2"/>
    <w:rsid w:val="031D76E6"/>
    <w:rsid w:val="03F16458"/>
    <w:rsid w:val="040D1CDC"/>
    <w:rsid w:val="048F536D"/>
    <w:rsid w:val="049A4077"/>
    <w:rsid w:val="05921CB4"/>
    <w:rsid w:val="05B86E81"/>
    <w:rsid w:val="0606522D"/>
    <w:rsid w:val="065B5946"/>
    <w:rsid w:val="066273CF"/>
    <w:rsid w:val="06CB09B1"/>
    <w:rsid w:val="07501452"/>
    <w:rsid w:val="07C12F94"/>
    <w:rsid w:val="07C57EBE"/>
    <w:rsid w:val="08013ADA"/>
    <w:rsid w:val="09567D67"/>
    <w:rsid w:val="096A4D92"/>
    <w:rsid w:val="097351D5"/>
    <w:rsid w:val="099C2A26"/>
    <w:rsid w:val="09A363F0"/>
    <w:rsid w:val="0A2148F3"/>
    <w:rsid w:val="0A6E3340"/>
    <w:rsid w:val="0AC134D9"/>
    <w:rsid w:val="0AF85BDB"/>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CC73BA"/>
    <w:rsid w:val="0FF21473"/>
    <w:rsid w:val="10241E47"/>
    <w:rsid w:val="10254E80"/>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A85CD2"/>
    <w:rsid w:val="14E1490B"/>
    <w:rsid w:val="1561643B"/>
    <w:rsid w:val="156572F9"/>
    <w:rsid w:val="156D0501"/>
    <w:rsid w:val="158231DA"/>
    <w:rsid w:val="15916DD0"/>
    <w:rsid w:val="16315803"/>
    <w:rsid w:val="165C71CF"/>
    <w:rsid w:val="166969C1"/>
    <w:rsid w:val="16BB0E2A"/>
    <w:rsid w:val="16FD3CF7"/>
    <w:rsid w:val="17944F5F"/>
    <w:rsid w:val="17A40A72"/>
    <w:rsid w:val="18026617"/>
    <w:rsid w:val="185D5222"/>
    <w:rsid w:val="190F0DAC"/>
    <w:rsid w:val="195267B7"/>
    <w:rsid w:val="19835660"/>
    <w:rsid w:val="1A0A2E18"/>
    <w:rsid w:val="1A2C0555"/>
    <w:rsid w:val="1A32799A"/>
    <w:rsid w:val="1A6D62B8"/>
    <w:rsid w:val="1A7F2165"/>
    <w:rsid w:val="1A807ACF"/>
    <w:rsid w:val="1ABE2780"/>
    <w:rsid w:val="1B117276"/>
    <w:rsid w:val="1B434F08"/>
    <w:rsid w:val="1B4703A9"/>
    <w:rsid w:val="1BCE6D53"/>
    <w:rsid w:val="1C6D7155"/>
    <w:rsid w:val="1C947C4A"/>
    <w:rsid w:val="1CAD0994"/>
    <w:rsid w:val="1D4B4C4A"/>
    <w:rsid w:val="1DE33F41"/>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5F9021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1020EE"/>
    <w:rsid w:val="2B6F3DC9"/>
    <w:rsid w:val="2B8A589B"/>
    <w:rsid w:val="2BD05AA5"/>
    <w:rsid w:val="2C0931FC"/>
    <w:rsid w:val="2C1673FF"/>
    <w:rsid w:val="2C2271B4"/>
    <w:rsid w:val="2C730871"/>
    <w:rsid w:val="2CCA4D12"/>
    <w:rsid w:val="2D0A691D"/>
    <w:rsid w:val="2D445085"/>
    <w:rsid w:val="2D8144BD"/>
    <w:rsid w:val="2D891397"/>
    <w:rsid w:val="2D9758F7"/>
    <w:rsid w:val="2DC25A00"/>
    <w:rsid w:val="2E7E4B85"/>
    <w:rsid w:val="2F0A254A"/>
    <w:rsid w:val="2F2F016E"/>
    <w:rsid w:val="2F310B57"/>
    <w:rsid w:val="2F5063E8"/>
    <w:rsid w:val="2F905553"/>
    <w:rsid w:val="2FC11466"/>
    <w:rsid w:val="300C0FA4"/>
    <w:rsid w:val="305512E6"/>
    <w:rsid w:val="307B1D46"/>
    <w:rsid w:val="31471876"/>
    <w:rsid w:val="315A752B"/>
    <w:rsid w:val="31D24780"/>
    <w:rsid w:val="320067E0"/>
    <w:rsid w:val="326870FC"/>
    <w:rsid w:val="32832139"/>
    <w:rsid w:val="3292275F"/>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99903B5"/>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BA47B9"/>
    <w:rsid w:val="3EC561BA"/>
    <w:rsid w:val="3F160714"/>
    <w:rsid w:val="3F1E43F7"/>
    <w:rsid w:val="3F9D788F"/>
    <w:rsid w:val="3FB70CED"/>
    <w:rsid w:val="3FC3692B"/>
    <w:rsid w:val="403B4F2A"/>
    <w:rsid w:val="40425EE1"/>
    <w:rsid w:val="4054512C"/>
    <w:rsid w:val="40F840A1"/>
    <w:rsid w:val="4112072C"/>
    <w:rsid w:val="41406115"/>
    <w:rsid w:val="415471CE"/>
    <w:rsid w:val="41F65344"/>
    <w:rsid w:val="421419E6"/>
    <w:rsid w:val="43144271"/>
    <w:rsid w:val="43375EF6"/>
    <w:rsid w:val="435F2CB2"/>
    <w:rsid w:val="44582319"/>
    <w:rsid w:val="448103D8"/>
    <w:rsid w:val="45D91BDA"/>
    <w:rsid w:val="45F4217D"/>
    <w:rsid w:val="46082B57"/>
    <w:rsid w:val="466F403B"/>
    <w:rsid w:val="46A626AA"/>
    <w:rsid w:val="46DC614C"/>
    <w:rsid w:val="46EC7F0F"/>
    <w:rsid w:val="47612B67"/>
    <w:rsid w:val="479F5278"/>
    <w:rsid w:val="47F32C4E"/>
    <w:rsid w:val="48342E8E"/>
    <w:rsid w:val="48686387"/>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2EDA"/>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E795352"/>
    <w:rsid w:val="5F392EE6"/>
    <w:rsid w:val="5F482574"/>
    <w:rsid w:val="5F7D31E0"/>
    <w:rsid w:val="5F9E43ED"/>
    <w:rsid w:val="5F9F4F9E"/>
    <w:rsid w:val="5FE00358"/>
    <w:rsid w:val="60002155"/>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2F772A7"/>
    <w:rsid w:val="63217F7A"/>
    <w:rsid w:val="635A11AF"/>
    <w:rsid w:val="636B1C6F"/>
    <w:rsid w:val="63DE6A3F"/>
    <w:rsid w:val="63F36285"/>
    <w:rsid w:val="64160C08"/>
    <w:rsid w:val="6426329E"/>
    <w:rsid w:val="64F8184B"/>
    <w:rsid w:val="65737CF6"/>
    <w:rsid w:val="66053330"/>
    <w:rsid w:val="666130F6"/>
    <w:rsid w:val="66665F25"/>
    <w:rsid w:val="669123B9"/>
    <w:rsid w:val="669123F3"/>
    <w:rsid w:val="67A51E84"/>
    <w:rsid w:val="67C330D0"/>
    <w:rsid w:val="67D63E2E"/>
    <w:rsid w:val="68AD5917"/>
    <w:rsid w:val="69963901"/>
    <w:rsid w:val="6A364C69"/>
    <w:rsid w:val="6A5879B2"/>
    <w:rsid w:val="6A6571AF"/>
    <w:rsid w:val="6ADB559B"/>
    <w:rsid w:val="6B56186E"/>
    <w:rsid w:val="6B925A85"/>
    <w:rsid w:val="6B992A21"/>
    <w:rsid w:val="6BBC1559"/>
    <w:rsid w:val="6BD1399D"/>
    <w:rsid w:val="6BE31E4B"/>
    <w:rsid w:val="6BFC687A"/>
    <w:rsid w:val="6C2A18C5"/>
    <w:rsid w:val="6C300D14"/>
    <w:rsid w:val="6CDB7EED"/>
    <w:rsid w:val="6CED3B59"/>
    <w:rsid w:val="6CF8599D"/>
    <w:rsid w:val="6D633D24"/>
    <w:rsid w:val="6D740556"/>
    <w:rsid w:val="6DD11792"/>
    <w:rsid w:val="6DDC55EF"/>
    <w:rsid w:val="6E1C2564"/>
    <w:rsid w:val="6E7B14CE"/>
    <w:rsid w:val="6F1D43AC"/>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AF461F"/>
    <w:rsid w:val="72C5692B"/>
    <w:rsid w:val="72C764E3"/>
    <w:rsid w:val="72CF4910"/>
    <w:rsid w:val="73E34AB9"/>
    <w:rsid w:val="741D0491"/>
    <w:rsid w:val="74283F5A"/>
    <w:rsid w:val="746B69CE"/>
    <w:rsid w:val="75487436"/>
    <w:rsid w:val="755B1463"/>
    <w:rsid w:val="75961EDE"/>
    <w:rsid w:val="759A42ED"/>
    <w:rsid w:val="75C8506C"/>
    <w:rsid w:val="762D54E1"/>
    <w:rsid w:val="76352F59"/>
    <w:rsid w:val="7653174D"/>
    <w:rsid w:val="767C6CC3"/>
    <w:rsid w:val="769A071F"/>
    <w:rsid w:val="76A21419"/>
    <w:rsid w:val="76B01DF2"/>
    <w:rsid w:val="76C05CA5"/>
    <w:rsid w:val="777B459A"/>
    <w:rsid w:val="779B6592"/>
    <w:rsid w:val="77B716ED"/>
    <w:rsid w:val="77C273B5"/>
    <w:rsid w:val="78A279B8"/>
    <w:rsid w:val="78DE15BC"/>
    <w:rsid w:val="794E44A1"/>
    <w:rsid w:val="79732C41"/>
    <w:rsid w:val="79B70F3E"/>
    <w:rsid w:val="7A6178D0"/>
    <w:rsid w:val="7ACC1E6A"/>
    <w:rsid w:val="7B4A6D37"/>
    <w:rsid w:val="7B585C15"/>
    <w:rsid w:val="7B66F71B"/>
    <w:rsid w:val="7B8A6ACE"/>
    <w:rsid w:val="7B956130"/>
    <w:rsid w:val="7BFE7B99"/>
    <w:rsid w:val="7CA01774"/>
    <w:rsid w:val="7CA62E51"/>
    <w:rsid w:val="7D742CC4"/>
    <w:rsid w:val="7D833020"/>
    <w:rsid w:val="7D923E31"/>
    <w:rsid w:val="7DF73CDA"/>
    <w:rsid w:val="7E4F06FE"/>
    <w:rsid w:val="7EAB2406"/>
    <w:rsid w:val="7F0703F9"/>
    <w:rsid w:val="7F8C5066"/>
    <w:rsid w:val="7FA81ECA"/>
    <w:rsid w:val="95FAC35F"/>
    <w:rsid w:val="BFFF7925"/>
    <w:rsid w:val="F3BD1F2C"/>
    <w:rsid w:val="FBFC98E1"/>
    <w:rsid w:val="FCFB3902"/>
    <w:rsid w:val="FFF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2"/>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6"/>
    <w:qFormat/>
    <w:uiPriority w:val="0"/>
    <w:rPr>
      <w:rFonts w:ascii="仿宋_GB2312" w:eastAsia="仿宋_GB2312"/>
      <w:sz w:val="28"/>
    </w:rPr>
  </w:style>
  <w:style w:type="paragraph" w:styleId="23">
    <w:name w:val="Body Text 3"/>
    <w:basedOn w:val="1"/>
    <w:link w:val="243"/>
    <w:qFormat/>
    <w:uiPriority w:val="0"/>
    <w:rPr>
      <w:rFonts w:ascii="仿宋_GB2312" w:hAnsi="Arial" w:eastAsia="仿宋_GB2312"/>
      <w:sz w:val="32"/>
    </w:rPr>
  </w:style>
  <w:style w:type="paragraph" w:styleId="24">
    <w:name w:val="Body Text"/>
    <w:basedOn w:val="1"/>
    <w:link w:val="202"/>
    <w:qFormat/>
    <w:uiPriority w:val="0"/>
    <w:rPr>
      <w:rFonts w:ascii="楷体_GB2312" w:hAnsi="Arial" w:eastAsia="楷体_GB2312"/>
      <w:sz w:val="28"/>
    </w:rPr>
  </w:style>
  <w:style w:type="paragraph" w:styleId="25">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7"/>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2"/>
    <w:qFormat/>
    <w:uiPriority w:val="0"/>
    <w:pPr>
      <w:ind w:left="100" w:leftChars="2500"/>
    </w:pPr>
    <w:rPr>
      <w:sz w:val="28"/>
    </w:rPr>
  </w:style>
  <w:style w:type="paragraph" w:styleId="32">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8"/>
    <w:qFormat/>
    <w:uiPriority w:val="0"/>
    <w:pPr>
      <w:snapToGrid w:val="0"/>
      <w:jc w:val="left"/>
    </w:pPr>
    <w:rPr>
      <w:szCs w:val="24"/>
    </w:rPr>
  </w:style>
  <w:style w:type="paragraph" w:styleId="34">
    <w:name w:val="Balloon Text"/>
    <w:basedOn w:val="1"/>
    <w:link w:val="206"/>
    <w:semiHidden/>
    <w:qFormat/>
    <w:uiPriority w:val="0"/>
    <w:rPr>
      <w:sz w:val="18"/>
      <w:szCs w:val="18"/>
    </w:rPr>
  </w:style>
  <w:style w:type="paragraph" w:styleId="35">
    <w:name w:val="footer"/>
    <w:basedOn w:val="1"/>
    <w:link w:val="119"/>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5"/>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39"/>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49"/>
    <w:qFormat/>
    <w:uiPriority w:val="0"/>
    <w:pPr>
      <w:widowControl/>
      <w:jc w:val="center"/>
    </w:pPr>
    <w:rPr>
      <w:rFonts w:ascii="楷体_GB2312" w:eastAsia="楷体_GB2312"/>
      <w:sz w:val="28"/>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6"/>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1"/>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character" w:customStyle="1" w:styleId="72">
    <w:name w:val="标题 1 字符"/>
    <w:basedOn w:val="60"/>
    <w:qFormat/>
    <w:uiPriority w:val="9"/>
    <w:rPr>
      <w:rFonts w:ascii="Calibri" w:hAnsi="Calibri" w:eastAsia="Calibri" w:cs="宋体"/>
      <w:b/>
      <w:bCs/>
      <w:kern w:val="44"/>
      <w:sz w:val="44"/>
      <w:szCs w:val="44"/>
      <w:lang w:val="zh-CN"/>
    </w:rPr>
  </w:style>
  <w:style w:type="character" w:customStyle="1" w:styleId="73">
    <w:name w:val="标题 2 字符"/>
    <w:basedOn w:val="60"/>
    <w:qFormat/>
    <w:uiPriority w:val="0"/>
    <w:rPr>
      <w:rFonts w:asciiTheme="majorHAnsi" w:hAnsiTheme="majorHAnsi" w:eastAsiaTheme="majorEastAsia" w:cstheme="majorBidi"/>
      <w:b/>
      <w:bCs/>
      <w:kern w:val="0"/>
      <w:sz w:val="32"/>
      <w:szCs w:val="32"/>
      <w:lang w:val="zh-CN"/>
    </w:rPr>
  </w:style>
  <w:style w:type="character" w:customStyle="1" w:styleId="74">
    <w:name w:val="标题 3 字符"/>
    <w:basedOn w:val="60"/>
    <w:qFormat/>
    <w:uiPriority w:val="0"/>
    <w:rPr>
      <w:rFonts w:ascii="Calibri" w:hAnsi="Calibri" w:eastAsia="Calibri" w:cs="宋体"/>
      <w:b/>
      <w:bCs/>
      <w:kern w:val="0"/>
      <w:sz w:val="32"/>
      <w:szCs w:val="32"/>
      <w:lang w:val="zh-CN"/>
    </w:rPr>
  </w:style>
  <w:style w:type="character" w:customStyle="1" w:styleId="75">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60"/>
    <w:semiHidden/>
    <w:qFormat/>
    <w:uiPriority w:val="9"/>
    <w:rPr>
      <w:rFonts w:ascii="Calibri" w:hAnsi="Calibri" w:eastAsia="Calibri" w:cs="宋体"/>
      <w:b/>
      <w:bCs/>
      <w:kern w:val="0"/>
      <w:sz w:val="28"/>
      <w:szCs w:val="28"/>
      <w:lang w:val="zh-CN"/>
    </w:rPr>
  </w:style>
  <w:style w:type="character" w:customStyle="1" w:styleId="77">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60"/>
    <w:semiHidden/>
    <w:qFormat/>
    <w:uiPriority w:val="9"/>
    <w:rPr>
      <w:rFonts w:ascii="Calibri" w:hAnsi="Calibri" w:eastAsia="Calibri" w:cs="宋体"/>
      <w:b/>
      <w:bCs/>
      <w:kern w:val="0"/>
      <w:sz w:val="24"/>
      <w:lang w:val="zh-CN"/>
    </w:rPr>
  </w:style>
  <w:style w:type="character" w:customStyle="1" w:styleId="79">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0">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60"/>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字符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字符1"/>
    <w:link w:val="55"/>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字符1"/>
    <w:link w:val="25"/>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字符"/>
    <w:link w:val="96"/>
    <w:qFormat/>
    <w:uiPriority w:val="0"/>
    <w:rPr>
      <w:rFonts w:ascii="Calibri" w:hAnsi="Calibri" w:eastAsia="微软雅黑"/>
      <w:sz w:val="24"/>
      <w:szCs w:val="22"/>
    </w:rPr>
  </w:style>
  <w:style w:type="paragraph" w:styleId="96">
    <w:name w:val="No Spacing"/>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字符1"/>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60"/>
    <w:qFormat/>
    <w:uiPriority w:val="0"/>
  </w:style>
  <w:style w:type="character" w:customStyle="1" w:styleId="106">
    <w:name w:val="批注主题 字符1"/>
    <w:link w:val="56"/>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字符1"/>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字符1"/>
    <w:link w:val="112"/>
    <w:qFormat/>
    <w:uiPriority w:val="0"/>
    <w:rPr>
      <w:rFonts w:ascii="Calibri" w:hAnsi="Calibri" w:eastAsia="宋体"/>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字符1"/>
    <w:link w:val="114"/>
    <w:qFormat/>
    <w:uiPriority w:val="0"/>
    <w:rPr>
      <w:rFonts w:ascii="Calibri" w:hAnsi="Calibri" w:eastAsia="宋体"/>
      <w:i/>
      <w:iCs/>
      <w:sz w:val="22"/>
      <w:szCs w:val="22"/>
      <w:lang w:eastAsia="en-US" w:bidi="en-US"/>
    </w:rPr>
  </w:style>
  <w:style w:type="paragraph" w:styleId="114">
    <w:name w:val="Quote"/>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60"/>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字符1"/>
    <w:link w:val="35"/>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字符1"/>
    <w:link w:val="28"/>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字符1"/>
    <w:link w:val="45"/>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字符1"/>
    <w:link w:val="32"/>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字符1"/>
    <w:link w:val="11"/>
    <w:qFormat/>
    <w:uiPriority w:val="0"/>
    <w:rPr>
      <w:rFonts w:ascii="Arial" w:hAnsi="Arial" w:eastAsia="黑体" w:cs="Times New Roman"/>
      <w:sz w:val="24"/>
    </w:rPr>
  </w:style>
  <w:style w:type="character" w:customStyle="1" w:styleId="140">
    <w:name w:val="标题 9 字符1"/>
    <w:link w:val="12"/>
    <w:qFormat/>
    <w:uiPriority w:val="0"/>
    <w:rPr>
      <w:rFonts w:ascii="Arial" w:hAnsi="Arial" w:eastAsia="黑体" w:cs="Times New Roman"/>
      <w:szCs w:val="21"/>
    </w:rPr>
  </w:style>
  <w:style w:type="character" w:customStyle="1" w:styleId="141">
    <w:name w:val="标题 5 字符1"/>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60"/>
    <w:qFormat/>
    <w:uiPriority w:val="0"/>
  </w:style>
  <w:style w:type="character" w:customStyle="1" w:styleId="144">
    <w:name w:val="文档结构图 字符1"/>
    <w:link w:val="19"/>
    <w:semiHidden/>
    <w:qFormat/>
    <w:uiPriority w:val="0"/>
    <w:rPr>
      <w:rFonts w:eastAsia="宋体"/>
      <w:shd w:val="clear" w:color="auto" w:fill="000080"/>
    </w:rPr>
  </w:style>
  <w:style w:type="character" w:customStyle="1" w:styleId="145">
    <w:name w:val="HTML 预设格式 字符1"/>
    <w:link w:val="52"/>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60"/>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字符1"/>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字符1"/>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60"/>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字符1"/>
    <w:link w:val="9"/>
    <w:qFormat/>
    <w:uiPriority w:val="0"/>
    <w:rPr>
      <w:rFonts w:ascii="Arial" w:hAnsi="Arial" w:eastAsia="黑体" w:cs="Times New Roman"/>
      <w:b/>
      <w:bCs/>
      <w:sz w:val="24"/>
    </w:rPr>
  </w:style>
  <w:style w:type="character" w:customStyle="1" w:styleId="177">
    <w:name w:val="para_small"/>
    <w:basedOn w:val="60"/>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字符"/>
    <w:basedOn w:val="60"/>
    <w:link w:val="36"/>
    <w:qFormat/>
    <w:uiPriority w:val="0"/>
    <w:rPr>
      <w:rFonts w:ascii="Calibri" w:hAnsi="Calibri" w:eastAsia="Calibri" w:cs="宋体"/>
      <w:kern w:val="0"/>
      <w:sz w:val="18"/>
      <w:szCs w:val="20"/>
      <w:lang w:val="zh-CN"/>
    </w:rPr>
  </w:style>
  <w:style w:type="character" w:customStyle="1" w:styleId="196">
    <w:name w:val="称呼 字符"/>
    <w:basedOn w:val="60"/>
    <w:link w:val="22"/>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字符"/>
    <w:basedOn w:val="60"/>
    <w:link w:val="24"/>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字符"/>
    <w:basedOn w:val="60"/>
    <w:link w:val="34"/>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17"/>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60"/>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60"/>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60"/>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字符"/>
    <w:basedOn w:val="60"/>
    <w:link w:val="20"/>
    <w:semiHidden/>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60"/>
    <w:semiHidden/>
    <w:qFormat/>
    <w:uiPriority w:val="99"/>
    <w:rPr>
      <w:rFonts w:ascii="Calibri" w:hAnsi="Calibri" w:eastAsia="Calibri" w:cs="宋体"/>
      <w:kern w:val="0"/>
      <w:sz w:val="16"/>
      <w:szCs w:val="16"/>
      <w:lang w:val="zh-CN"/>
    </w:rPr>
  </w:style>
  <w:style w:type="character" w:customStyle="1" w:styleId="226">
    <w:name w:val="签名 字符"/>
    <w:basedOn w:val="60"/>
    <w:link w:val="37"/>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字符"/>
    <w:basedOn w:val="60"/>
    <w:link w:val="33"/>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文本首行缩进 字符"/>
    <w:basedOn w:val="202"/>
    <w:link w:val="57"/>
    <w:qFormat/>
    <w:uiPriority w:val="0"/>
    <w:rPr>
      <w:rFonts w:ascii="Times New Roman" w:hAnsi="Times New Roman" w:eastAsia="宋体" w:cs="宋体"/>
      <w:kern w:val="0"/>
      <w:sz w:val="28"/>
      <w:szCs w:val="20"/>
      <w:lang w:val="zh-CN"/>
    </w:rPr>
  </w:style>
  <w:style w:type="character" w:customStyle="1" w:styleId="232">
    <w:name w:val="日期 字符"/>
    <w:basedOn w:val="60"/>
    <w:link w:val="31"/>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1"/>
    <w:qFormat/>
    <w:uiPriority w:val="0"/>
    <w:pPr>
      <w:spacing w:line="360" w:lineRule="auto"/>
    </w:pPr>
    <w:rPr>
      <w:rFonts w:eastAsia="仿宋_GB2312"/>
      <w:sz w:val="24"/>
      <w:szCs w:val="24"/>
    </w:rPr>
  </w:style>
  <w:style w:type="character" w:customStyle="1" w:styleId="239">
    <w:name w:val="脚注文本 字符"/>
    <w:basedOn w:val="60"/>
    <w:link w:val="43"/>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字符"/>
    <w:basedOn w:val="60"/>
    <w:link w:val="23"/>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字符"/>
    <w:basedOn w:val="60"/>
    <w:link w:val="51"/>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60"/>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styleId="272">
    <w:name w:val="List Paragraph"/>
    <w:basedOn w:val="1"/>
    <w:qFormat/>
    <w:uiPriority w:val="34"/>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5"/>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19"/>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19"/>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
    <w:basedOn w:val="1"/>
    <w:qFormat/>
    <w:uiPriority w:val="34"/>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character" w:customStyle="1" w:styleId="430">
    <w:name w:val="列出段落字符"/>
    <w:link w:val="431"/>
    <w:qFormat/>
    <w:uiPriority w:val="34"/>
    <w:rPr>
      <w:kern w:val="2"/>
      <w:sz w:val="21"/>
      <w:szCs w:val="24"/>
    </w:rPr>
  </w:style>
  <w:style w:type="paragraph" w:customStyle="1" w:styleId="431">
    <w:name w:val="列出段落3"/>
    <w:basedOn w:val="1"/>
    <w:link w:val="430"/>
    <w:qFormat/>
    <w:uiPriority w:val="34"/>
    <w:pPr>
      <w:ind w:firstLine="420" w:firstLineChars="200"/>
    </w:pPr>
    <w:rPr>
      <w:rFonts w:ascii="Times New Roman" w:hAnsi="Times New Roman" w:eastAsia="宋体" w:cs="Times New Roman"/>
      <w:kern w:val="2"/>
      <w:sz w:val="21"/>
      <w:szCs w:val="24"/>
      <w:lang w:val="en-US"/>
    </w:rPr>
  </w:style>
  <w:style w:type="character" w:customStyle="1" w:styleId="432">
    <w:name w:val="页脚 Char"/>
    <w:qFormat/>
    <w:uiPriority w:val="0"/>
    <w:rPr>
      <w:kern w:val="2"/>
      <w:sz w:val="18"/>
    </w:rPr>
  </w:style>
  <w:style w:type="character" w:customStyle="1" w:styleId="433">
    <w:name w:val="页眉 Char"/>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2512</Words>
  <Characters>14323</Characters>
  <Lines>119</Lines>
  <Paragraphs>33</Paragraphs>
  <TotalTime>14</TotalTime>
  <ScaleCrop>false</ScaleCrop>
  <LinksUpToDate>false</LinksUpToDate>
  <CharactersWithSpaces>16802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2023-10-16T01:36:00Z</dcterms:created>
  <dc:creator>Microsoft Office 用户</dc:creator>
  <cp:lastModifiedBy>Lu_t@Over_alL.Z</cp:lastModifiedBy>
  <dcterms:modified xsi:type="dcterms:W3CDTF">2023-10-31T08:59:47Z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BAE0B422B5E24BD5A54159E73A76C37D_13</vt:lpwstr>
  </property>
</Properties>
</file>