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hint="default" w:ascii="黑体" w:hAnsi="宋体" w:eastAsia="黑体"/>
          <w:sz w:val="36"/>
          <w:szCs w:val="36"/>
          <w:lang w:val="en-US" w:eastAsia="zh-CN"/>
        </w:rPr>
      </w:pPr>
      <w:r>
        <w:rPr>
          <w:rFonts w:hint="eastAsia" w:ascii="黑体" w:hAnsi="宋体" w:eastAsia="黑体"/>
          <w:sz w:val="36"/>
          <w:szCs w:val="36"/>
        </w:rPr>
        <w:t>项目编号：</w:t>
      </w:r>
      <w:r>
        <w:rPr>
          <w:rFonts w:ascii="黑体" w:hAnsi="宋体" w:eastAsia="黑体"/>
          <w:sz w:val="36"/>
          <w:szCs w:val="36"/>
        </w:rPr>
        <w:t>JNYY-2023</w:t>
      </w:r>
      <w:r>
        <w:rPr>
          <w:rFonts w:hint="eastAsia" w:ascii="黑体" w:hAnsi="宋体" w:eastAsia="黑体"/>
          <w:sz w:val="36"/>
          <w:szCs w:val="36"/>
          <w:highlight w:val="none"/>
          <w:lang w:val="en-US" w:eastAsia="zh-CN"/>
        </w:rPr>
        <w:t>1027001</w:t>
      </w:r>
    </w:p>
    <w:p>
      <w:pPr>
        <w:spacing w:line="480" w:lineRule="auto"/>
        <w:ind w:left="2268" w:leftChars="360" w:hanging="1548" w:hangingChars="430"/>
        <w:rPr>
          <w:rFonts w:ascii="黑体" w:hAnsi="宋体" w:eastAsia="黑体"/>
          <w:sz w:val="36"/>
          <w:szCs w:val="36"/>
        </w:rPr>
      </w:pPr>
      <w:r>
        <w:rPr>
          <w:rFonts w:hint="eastAsia" w:ascii="黑体" w:hAnsi="宋体" w:eastAsia="黑体"/>
          <w:sz w:val="36"/>
          <w:szCs w:val="36"/>
        </w:rPr>
        <w:t>项目名称：南京市江宁医院经济运营信息平台(国考指标监测)项目</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采购类别：软件类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rPr>
        <w:t>十</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南京市江宁医院经济运营信息平台(国考指标监测)项目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tabs>
          <w:tab w:val="left" w:pos="7005"/>
        </w:tabs>
        <w:autoSpaceDE w:val="0"/>
        <w:autoSpaceDN w:val="0"/>
        <w:adjustRightInd w:val="0"/>
        <w:spacing w:line="360" w:lineRule="auto"/>
        <w:rPr>
          <w:rFonts w:hint="default" w:ascii="宋体" w:hAnsi="宋体" w:eastAsia="宋体"/>
          <w:b/>
          <w:bCs/>
          <w:sz w:val="24"/>
          <w:szCs w:val="24"/>
          <w:lang w:val="en-US"/>
        </w:rPr>
      </w:pPr>
      <w:r>
        <w:rPr>
          <w:rFonts w:hint="eastAsia" w:ascii="宋体" w:hAnsi="宋体" w:eastAsia="宋体"/>
          <w:b/>
          <w:bCs/>
          <w:sz w:val="24"/>
          <w:szCs w:val="24"/>
        </w:rPr>
        <w:t>1、项目编号：JNYY-2023</w:t>
      </w:r>
      <w:r>
        <w:rPr>
          <w:rFonts w:hint="eastAsia" w:ascii="宋体" w:hAnsi="宋体" w:eastAsia="宋体"/>
          <w:b/>
          <w:bCs/>
          <w:sz w:val="24"/>
          <w:szCs w:val="24"/>
          <w:lang w:val="en-US" w:eastAsia="zh-CN"/>
        </w:rPr>
        <w:t>1027001</w:t>
      </w:r>
    </w:p>
    <w:p>
      <w:pPr>
        <w:widowControl/>
        <w:tabs>
          <w:tab w:val="left" w:pos="7005"/>
        </w:tabs>
        <w:spacing w:line="360" w:lineRule="auto"/>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
          <w:sz w:val="24"/>
          <w:szCs w:val="24"/>
          <w:u w:val="single"/>
          <w:lang w:val="en-US"/>
        </w:rPr>
        <w:t>南京市江宁医院经济运营信息平台(国考指标监测)项目</w:t>
      </w:r>
    </w:p>
    <w:p>
      <w:pPr>
        <w:spacing w:line="360" w:lineRule="auto"/>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不涉及</w:t>
      </w:r>
      <w:r>
        <w:rPr>
          <w:rFonts w:hint="eastAsia" w:ascii="宋体" w:hAnsi="宋体" w:eastAsia="宋体"/>
          <w:bCs/>
          <w:sz w:val="24"/>
          <w:szCs w:val="24"/>
          <w:lang w:val="en-US"/>
        </w:rPr>
        <w:t>，供应商根据项目需求提供</w:t>
      </w:r>
      <w:r>
        <w:rPr>
          <w:rFonts w:hint="eastAsia" w:ascii="宋体" w:hAnsi="宋体" w:eastAsia="宋体" w:cs="微软雅黑"/>
          <w:sz w:val="24"/>
        </w:rPr>
        <w:t>报价及解決方案。</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w:t>
      </w:r>
      <w:r>
        <w:rPr>
          <w:rFonts w:hint="eastAsia" w:ascii="宋体" w:hAnsi="宋体" w:eastAsia="宋体"/>
          <w:b/>
          <w:bCs/>
          <w:sz w:val="24"/>
          <w:szCs w:val="24"/>
          <w:lang w:val="en-US"/>
        </w:rPr>
        <w:t>供应商应具备的基本</w:t>
      </w:r>
      <w:r>
        <w:rPr>
          <w:rFonts w:hint="eastAsia" w:ascii="宋体" w:hAnsi="宋体" w:eastAsia="宋体"/>
          <w:b/>
          <w:bCs/>
          <w:sz w:val="24"/>
          <w:szCs w:val="24"/>
        </w:rPr>
        <w:t>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pStyle w:val="2"/>
        <w:spacing w:line="360" w:lineRule="auto"/>
        <w:ind w:left="0"/>
        <w:rPr>
          <w:rFonts w:ascii="宋体" w:hAnsi="宋体" w:eastAsia="宋体"/>
          <w:color w:val="000000"/>
          <w:sz w:val="24"/>
          <w:szCs w:val="24"/>
        </w:rPr>
      </w:pPr>
      <w:r>
        <w:rPr>
          <w:rFonts w:ascii="宋体" w:hAnsi="宋体" w:eastAsia="宋体"/>
          <w:color w:val="000000"/>
          <w:sz w:val="24"/>
          <w:szCs w:val="24"/>
        </w:rPr>
        <w:t>4.1.6</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sz w:val="24"/>
          <w:szCs w:val="24"/>
          <w:highlight w:val="none"/>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highlight w:val="none"/>
          <w:u w:val="single"/>
          <w:lang w:val="en-US"/>
        </w:rPr>
        <w:t xml:space="preserve"> </w:t>
      </w:r>
      <w:r>
        <w:rPr>
          <w:rFonts w:ascii="宋体" w:hAnsi="宋体" w:eastAsia="宋体"/>
          <w:b/>
          <w:sz w:val="24"/>
          <w:szCs w:val="24"/>
          <w:highlight w:val="none"/>
          <w:u w:val="single"/>
          <w:lang w:val="en-US"/>
        </w:rPr>
        <w:t>202</w:t>
      </w:r>
      <w:r>
        <w:rPr>
          <w:rFonts w:ascii="宋体" w:hAnsi="宋体" w:eastAsia="宋体"/>
          <w:b/>
          <w:sz w:val="24"/>
          <w:szCs w:val="24"/>
          <w:highlight w:val="none"/>
          <w:u w:val="single"/>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日</w:t>
      </w:r>
      <w:r>
        <w:rPr>
          <w:rFonts w:ascii="宋体" w:hAnsi="宋体" w:eastAsia="宋体"/>
          <w:b/>
          <w:sz w:val="24"/>
          <w:szCs w:val="24"/>
          <w:highlight w:val="none"/>
          <w:u w:val="single"/>
          <w:lang w:val="en-US"/>
        </w:rPr>
        <w:t>12</w:t>
      </w:r>
      <w:r>
        <w:rPr>
          <w:rFonts w:hint="eastAsia" w:ascii="宋体" w:hAnsi="宋体" w:eastAsia="宋体"/>
          <w:b/>
          <w:sz w:val="24"/>
          <w:szCs w:val="24"/>
          <w:highlight w:val="none"/>
          <w:u w:val="single"/>
        </w:rPr>
        <w:t>时</w:t>
      </w:r>
      <w:r>
        <w:rPr>
          <w:rFonts w:ascii="宋体" w:hAnsi="宋体" w:eastAsia="宋体"/>
          <w:b/>
          <w:sz w:val="24"/>
          <w:szCs w:val="24"/>
          <w:highlight w:val="none"/>
          <w:u w:val="single"/>
          <w:lang w:val="en-US"/>
        </w:rPr>
        <w:t>00</w:t>
      </w:r>
      <w:r>
        <w:rPr>
          <w:rFonts w:hint="eastAsia" w:ascii="宋体" w:hAnsi="宋体" w:eastAsia="宋体"/>
          <w:b/>
          <w:sz w:val="24"/>
          <w:szCs w:val="24"/>
          <w:highlight w:val="none"/>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w:t>
      </w:r>
      <w:r>
        <w:rPr>
          <w:rFonts w:hint="eastAsia" w:ascii="宋体" w:hAnsi="宋体" w:eastAsia="宋体"/>
          <w:b/>
          <w:sz w:val="24"/>
          <w:szCs w:val="24"/>
          <w:highlight w:val="none"/>
          <w:lang w:val="en-US" w:eastAsia="zh-CN"/>
        </w:rPr>
        <w:t>11</w:t>
      </w:r>
      <w:r>
        <w:rPr>
          <w:rFonts w:hint="eastAsia" w:ascii="宋体" w:hAnsi="宋体" w:eastAsia="宋体"/>
          <w:b/>
          <w:sz w:val="24"/>
          <w:szCs w:val="24"/>
          <w:highlight w:val="none"/>
          <w:lang w:val="en-US"/>
        </w:rPr>
        <w:t>月</w:t>
      </w:r>
      <w:r>
        <w:rPr>
          <w:rFonts w:hint="eastAsia" w:ascii="宋体" w:hAnsi="宋体" w:eastAsia="宋体"/>
          <w:b/>
          <w:sz w:val="24"/>
          <w:szCs w:val="24"/>
          <w:highlight w:val="none"/>
          <w:lang w:val="en-US" w:eastAsia="zh-CN"/>
        </w:rPr>
        <w:t>7</w:t>
      </w:r>
      <w:r>
        <w:rPr>
          <w:rFonts w:hint="eastAsia" w:ascii="宋体" w:hAnsi="宋体" w:eastAsia="宋体"/>
          <w:b/>
          <w:sz w:val="24"/>
          <w:szCs w:val="24"/>
          <w:highlight w:val="none"/>
          <w:lang w:val="en-US"/>
        </w:rPr>
        <w:t>日1</w:t>
      </w:r>
      <w:r>
        <w:rPr>
          <w:rFonts w:ascii="宋体" w:hAnsi="宋体" w:eastAsia="宋体"/>
          <w:b/>
          <w:sz w:val="24"/>
          <w:szCs w:val="24"/>
          <w:highlight w:val="none"/>
          <w:lang w:val="en-US"/>
        </w:rPr>
        <w:t>2</w:t>
      </w:r>
      <w:r>
        <w:rPr>
          <w:rFonts w:hint="eastAsia" w:ascii="宋体" w:hAnsi="宋体" w:eastAsia="宋体"/>
          <w:b/>
          <w:sz w:val="24"/>
          <w:szCs w:val="24"/>
          <w:highlight w:val="none"/>
          <w:lang w:val="en-US"/>
        </w:rPr>
        <w:t>时0</w:t>
      </w:r>
      <w:r>
        <w:rPr>
          <w:rFonts w:ascii="宋体" w:hAnsi="宋体" w:eastAsia="宋体"/>
          <w:b/>
          <w:sz w:val="24"/>
          <w:szCs w:val="24"/>
          <w:highlight w:val="none"/>
          <w:lang w:val="en-US"/>
        </w:rPr>
        <w:t>0</w:t>
      </w:r>
      <w:r>
        <w:rPr>
          <w:rFonts w:hint="eastAsia" w:ascii="宋体" w:hAnsi="宋体" w:eastAsia="宋体"/>
          <w:b/>
          <w:sz w:val="24"/>
          <w:szCs w:val="24"/>
          <w:highlight w:val="none"/>
          <w:lang w:val="en-US"/>
        </w:rPr>
        <w:t>分</w:t>
      </w:r>
      <w:r>
        <w:rPr>
          <w:rFonts w:hint="eastAsia" w:ascii="宋体" w:hAnsi="宋体" w:eastAsia="宋体"/>
          <w:b/>
          <w:sz w:val="24"/>
          <w:szCs w:val="24"/>
          <w:lang w:val="en-US"/>
        </w:rPr>
        <w:t>前将报名表(报名表详见附件)发至邮箱：jnyyxxc@163.com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项目需求中带星号（“★”）的技术要求的技术要求以及商务要求均为实质性要求，不得负偏离；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）价格部分是对软件和服务价格构成的说明，询价论证文件如没有特别说明的话，对每一项软件和服务仅接受一个价格；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）报价应包含完成本软件和部署发生的所有含税费用、支付给员工的工资、支付给专家的评审费和国家强制缴纳的各种社会保障资金，以及供应商认为需要的其他费用等；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
        <w:rPr>
          <w:rFonts w:eastAsiaTheme="minorEastAsia"/>
          <w:lang w:val="en-US"/>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eastAsia="宋体" w:cs="Times New Roman"/>
          <w:kern w:val="2"/>
          <w:sz w:val="24"/>
          <w:szCs w:val="24"/>
          <w:lang w:val="en-US"/>
        </w:rPr>
      </w:pPr>
      <w:r>
        <w:rPr>
          <w:rFonts w:hint="eastAsia" w:eastAsia="宋体" w:cs="Times New Roman"/>
          <w:kern w:val="2"/>
          <w:sz w:val="24"/>
          <w:szCs w:val="24"/>
          <w:lang w:val="en-US"/>
        </w:rPr>
        <w:t>为解决</w:t>
      </w:r>
      <w:r>
        <w:rPr>
          <w:rFonts w:hint="eastAsia" w:ascii="宋体" w:hAnsi="宋体" w:eastAsia="宋体"/>
          <w:sz w:val="24"/>
          <w:szCs w:val="24"/>
        </w:rPr>
        <w:t>江宁医院</w:t>
      </w:r>
      <w:r>
        <w:rPr>
          <w:rFonts w:hint="eastAsia" w:eastAsia="宋体" w:cs="Times New Roman"/>
          <w:kern w:val="2"/>
          <w:sz w:val="24"/>
          <w:szCs w:val="24"/>
          <w:lang w:val="en-US"/>
        </w:rPr>
        <w:t>的工作需求，提升医院运营分析的效率和水准，经过实际调研以及征求相关部门的意见，需对</w:t>
      </w:r>
      <w:r>
        <w:rPr>
          <w:rFonts w:eastAsia="宋体" w:cs="Times New Roman"/>
          <w:kern w:val="2"/>
          <w:sz w:val="24"/>
          <w:szCs w:val="24"/>
          <w:lang w:val="en-US"/>
        </w:rPr>
        <w:t>江宁医院经济运营信息平台</w:t>
      </w:r>
      <w:r>
        <w:rPr>
          <w:rFonts w:hint="eastAsia" w:eastAsia="宋体" w:cs="Times New Roman"/>
          <w:kern w:val="2"/>
          <w:sz w:val="24"/>
          <w:szCs w:val="24"/>
          <w:lang w:val="en-US"/>
        </w:rPr>
        <w:t>中的国考指标检测模块进行升级部署，实现</w:t>
      </w:r>
      <w:r>
        <w:rPr>
          <w:rFonts w:eastAsia="宋体" w:cs="Times New Roman"/>
          <w:kern w:val="2"/>
          <w:sz w:val="24"/>
          <w:szCs w:val="24"/>
          <w:lang w:val="en-US"/>
        </w:rPr>
        <w:t>财务信息平台“数据集成化、核算精细化、服务平台化、作业智能化”</w:t>
      </w:r>
      <w:r>
        <w:rPr>
          <w:rFonts w:hint="eastAsia" w:eastAsia="宋体" w:cs="Times New Roman"/>
          <w:kern w:val="2"/>
          <w:sz w:val="24"/>
          <w:szCs w:val="24"/>
          <w:lang w:val="en-US"/>
        </w:rPr>
        <w:t>的</w:t>
      </w:r>
      <w:r>
        <w:rPr>
          <w:rFonts w:eastAsia="宋体" w:cs="Times New Roman"/>
          <w:kern w:val="2"/>
          <w:sz w:val="24"/>
          <w:szCs w:val="24"/>
          <w:lang w:val="en-US"/>
        </w:rPr>
        <w:t>建设</w:t>
      </w:r>
      <w:r>
        <w:rPr>
          <w:rFonts w:hint="eastAsia" w:eastAsia="宋体" w:cs="Times New Roman"/>
          <w:kern w:val="2"/>
          <w:sz w:val="24"/>
          <w:szCs w:val="24"/>
          <w:lang w:val="en-US"/>
        </w:rPr>
        <w:t>目标。</w:t>
      </w:r>
      <w:r>
        <w:rPr>
          <w:rFonts w:eastAsia="宋体" w:cs="Times New Roman"/>
          <w:kern w:val="2"/>
          <w:sz w:val="24"/>
          <w:szCs w:val="24"/>
          <w:lang w:val="en-US"/>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为满足南京市江宁医院</w:t>
      </w:r>
      <w:r>
        <w:rPr>
          <w:rFonts w:ascii="宋体" w:hAnsi="宋体" w:eastAsia="宋体"/>
          <w:sz w:val="24"/>
          <w:szCs w:val="24"/>
        </w:rPr>
        <w:t>经济运营信息平台(国考指标监测)</w:t>
      </w:r>
      <w:r>
        <w:rPr>
          <w:rFonts w:hint="eastAsia" w:ascii="宋体" w:hAnsi="宋体" w:eastAsia="宋体"/>
          <w:sz w:val="24"/>
          <w:szCs w:val="24"/>
        </w:rPr>
        <w:t>项目采购需求,</w:t>
      </w:r>
      <w:r>
        <w:rPr>
          <w:rFonts w:ascii="宋体" w:hAnsi="宋体" w:eastAsia="宋体"/>
          <w:sz w:val="24"/>
          <w:szCs w:val="24"/>
        </w:rPr>
        <w:t xml:space="preserve"> </w:t>
      </w:r>
      <w:r>
        <w:rPr>
          <w:rFonts w:hint="eastAsia" w:ascii="宋体" w:hAnsi="宋体" w:eastAsia="宋体"/>
          <w:sz w:val="24"/>
          <w:szCs w:val="24"/>
        </w:rPr>
        <w:t>开展本项目询价论证。</w:t>
      </w:r>
    </w:p>
    <w:p>
      <w:pPr>
        <w:pStyle w:val="427"/>
        <w:tabs>
          <w:tab w:val="clear" w:pos="1760"/>
        </w:tabs>
        <w:spacing w:before="0"/>
        <w:ind w:left="0" w:leftChars="0" w:right="0" w:rightChars="0"/>
        <w:rPr>
          <w:color w:val="000000"/>
          <w:lang w:eastAsia="zh-CN"/>
        </w:rPr>
      </w:pPr>
      <w:r>
        <w:rPr>
          <w:rFonts w:hint="eastAsia"/>
          <w:color w:val="000000"/>
          <w:lang w:eastAsia="zh-CN"/>
        </w:rPr>
        <w:t>二、本项目采购需求</w:t>
      </w:r>
    </w:p>
    <w:p>
      <w:pPr>
        <w:pStyle w:val="2"/>
        <w:spacing w:line="360" w:lineRule="auto"/>
        <w:ind w:left="0"/>
        <w:rPr>
          <w:rFonts w:ascii="宋体" w:hAnsi="宋体" w:eastAsia="宋体"/>
          <w:sz w:val="24"/>
          <w:szCs w:val="24"/>
        </w:rPr>
      </w:pPr>
      <w:r>
        <w:rPr>
          <w:rFonts w:hint="eastAsia" w:eastAsiaTheme="minorEastAsia"/>
        </w:rPr>
        <w:t xml:space="preserve"> </w:t>
      </w:r>
      <w:r>
        <w:rPr>
          <w:rFonts w:eastAsiaTheme="minorEastAsia"/>
        </w:rPr>
        <w:t xml:space="preserve">    </w:t>
      </w:r>
      <w:r>
        <w:rPr>
          <w:rFonts w:ascii="宋体" w:hAnsi="宋体" w:eastAsia="宋体"/>
          <w:sz w:val="24"/>
          <w:szCs w:val="24"/>
        </w:rPr>
        <w:t>经济运营信息平台(国考指标监测)</w:t>
      </w:r>
      <w:r>
        <w:rPr>
          <w:rFonts w:hint="eastAsia" w:ascii="宋体" w:hAnsi="宋体" w:eastAsia="宋体"/>
          <w:sz w:val="24"/>
          <w:szCs w:val="24"/>
        </w:rPr>
        <w:t>项目采购按年度平均用量综合估算列表如下</w:t>
      </w:r>
      <w:r>
        <w:rPr>
          <w:rFonts w:ascii="宋体" w:hAnsi="宋体" w:eastAsia="宋体"/>
          <w:sz w:val="24"/>
          <w:szCs w:val="24"/>
        </w:rPr>
        <w:t>：</w:t>
      </w:r>
    </w:p>
    <w:tbl>
      <w:tblPr>
        <w:tblStyle w:val="58"/>
        <w:tblW w:w="9346"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578"/>
        <w:gridCol w:w="855"/>
        <w:gridCol w:w="915"/>
        <w:gridCol w:w="499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9" w:hRule="atLeast"/>
          <w:jc w:val="center"/>
        </w:trPr>
        <w:tc>
          <w:tcPr>
            <w:tcW w:w="257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33"/>
              <w:jc w:val="left"/>
              <w:rPr>
                <w:rFonts w:eastAsia="宋体"/>
                <w:b/>
                <w:bCs/>
                <w:sz w:val="24"/>
                <w:szCs w:val="24"/>
              </w:rPr>
            </w:pPr>
            <w:r>
              <w:rPr>
                <w:rFonts w:hint="eastAsia" w:eastAsia="宋体"/>
                <w:b/>
                <w:bCs/>
                <w:sz w:val="24"/>
                <w:szCs w:val="24"/>
              </w:rPr>
              <w:t>项目</w:t>
            </w:r>
            <w:r>
              <w:rPr>
                <w:rFonts w:hint="eastAsia"/>
                <w:b/>
                <w:bCs/>
                <w:sz w:val="24"/>
                <w:szCs w:val="24"/>
              </w:rPr>
              <w:t>名称</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5"/>
              <w:jc w:val="center"/>
              <w:rPr>
                <w:rFonts w:eastAsia="宋体"/>
                <w:b/>
                <w:bCs/>
                <w:sz w:val="24"/>
                <w:szCs w:val="24"/>
              </w:rPr>
            </w:pPr>
            <w:r>
              <w:rPr>
                <w:rFonts w:hint="eastAsia"/>
                <w:b/>
                <w:bCs/>
                <w:sz w:val="24"/>
                <w:szCs w:val="24"/>
              </w:rPr>
              <w:t>单位</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left="111" w:right="73"/>
              <w:jc w:val="center"/>
              <w:rPr>
                <w:rFonts w:ascii="宋体" w:hAnsi="宋体" w:eastAsia="宋体"/>
                <w:b/>
                <w:bCs/>
                <w:sz w:val="24"/>
                <w:szCs w:val="24"/>
              </w:rPr>
            </w:pPr>
            <w:r>
              <w:rPr>
                <w:rFonts w:hint="eastAsia" w:ascii="宋体" w:hAnsi="宋体" w:eastAsia="宋体"/>
                <w:b/>
                <w:bCs/>
                <w:sz w:val="24"/>
                <w:szCs w:val="24"/>
              </w:rPr>
              <w:t>数量</w:t>
            </w:r>
          </w:p>
        </w:tc>
        <w:tc>
          <w:tcPr>
            <w:tcW w:w="499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509"/>
              <w:jc w:val="center"/>
              <w:rPr>
                <w:b/>
                <w:bCs/>
                <w:sz w:val="24"/>
                <w:szCs w:val="24"/>
              </w:rPr>
            </w:pPr>
            <w:r>
              <w:rPr>
                <w:b/>
                <w:bCs/>
                <w:sz w:val="24"/>
                <w:szCs w:val="24"/>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jc w:val="center"/>
        </w:trPr>
        <w:tc>
          <w:tcPr>
            <w:tcW w:w="2578" w:type="dxa"/>
            <w:tcBorders>
              <w:top w:val="single" w:color="000000" w:sz="8" w:space="0"/>
              <w:left w:val="single" w:color="000000" w:sz="8" w:space="0"/>
              <w:bottom w:val="single" w:color="000000" w:sz="8" w:space="0"/>
              <w:right w:val="single" w:color="000000" w:sz="8" w:space="0"/>
            </w:tcBorders>
          </w:tcPr>
          <w:p>
            <w:pPr>
              <w:pStyle w:val="429"/>
              <w:tabs>
                <w:tab w:val="left" w:pos="880"/>
              </w:tabs>
              <w:autoSpaceDE w:val="0"/>
              <w:autoSpaceDN w:val="0"/>
              <w:spacing w:before="21" w:line="360" w:lineRule="auto"/>
              <w:ind w:right="-10"/>
              <w:jc w:val="left"/>
              <w:rPr>
                <w:rFonts w:eastAsiaTheme="minorEastAsia"/>
                <w:sz w:val="24"/>
                <w:szCs w:val="24"/>
                <w:lang w:val="en-US"/>
              </w:rPr>
            </w:pPr>
            <w:r>
              <w:rPr>
                <w:rFonts w:hint="eastAsia" w:ascii="宋体" w:hAnsi="宋体" w:eastAsia="宋体"/>
                <w:sz w:val="24"/>
                <w:szCs w:val="24"/>
                <w:lang w:val="en-US"/>
              </w:rPr>
              <w:t>医院经济运营信息平台(国考指标监测)</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43"/>
              <w:jc w:val="center"/>
              <w:rPr>
                <w:rFonts w:eastAsiaTheme="minorEastAsia"/>
                <w:sz w:val="24"/>
                <w:szCs w:val="24"/>
              </w:rPr>
            </w:pPr>
            <w:r>
              <w:rPr>
                <w:rFonts w:hint="eastAsia" w:ascii="宋体" w:hAnsi="宋体" w:eastAsia="宋体"/>
                <w:sz w:val="24"/>
                <w:szCs w:val="24"/>
              </w:rPr>
              <w:t>套</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111" w:right="67"/>
              <w:jc w:val="center"/>
              <w:rPr>
                <w:rFonts w:ascii="宋体" w:hAnsi="宋体" w:eastAsia="宋体"/>
                <w:sz w:val="24"/>
                <w:szCs w:val="24"/>
                <w:lang w:val="en-US"/>
              </w:rPr>
            </w:pPr>
            <w:r>
              <w:rPr>
                <w:rFonts w:hint="eastAsia" w:asciiTheme="minorEastAsia" w:hAnsiTheme="minorEastAsia" w:eastAsiaTheme="minorEastAsia"/>
                <w:sz w:val="24"/>
                <w:szCs w:val="24"/>
                <w:lang w:val="en-US"/>
              </w:rPr>
              <w:t>1</w:t>
            </w:r>
          </w:p>
        </w:tc>
        <w:tc>
          <w:tcPr>
            <w:tcW w:w="499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39"/>
              <w:rPr>
                <w:rFonts w:eastAsia="宋体"/>
                <w:sz w:val="24"/>
                <w:szCs w:val="24"/>
                <w:lang w:val="en-US"/>
              </w:rPr>
            </w:pPr>
          </w:p>
        </w:tc>
      </w:tr>
    </w:tbl>
    <w:p>
      <w:pPr>
        <w:pStyle w:val="2"/>
        <w:spacing w:before="240" w:beforeLines="100" w:after="240" w:afterLines="100"/>
        <w:ind w:left="0" w:firstLine="480" w:firstLineChars="200"/>
        <w:jc w:val="left"/>
        <w:rPr>
          <w:rFonts w:eastAsia="宋体"/>
          <w:sz w:val="24"/>
          <w:szCs w:val="24"/>
          <w:lang w:val="en-US"/>
        </w:rPr>
      </w:pPr>
      <w:r>
        <w:rPr>
          <w:rFonts w:hint="eastAsia" w:eastAsia="宋体"/>
          <w:sz w:val="24"/>
          <w:szCs w:val="24"/>
          <w:lang w:val="en-US"/>
        </w:rPr>
        <w:t>具体技术参数要求如下：</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授权管理功能</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重做运营平台授权管理功能，新增多个维护页面（包括指标角色授权、角色指标授权、指标科室对应关系），并优化多个维护页面（包括角色管理、角色对应菜单功能、操作人员维护、菜单维护）；目前可实现对角色、归口/本级、指标、指标分类属性、科室、导出、下钻的权限控制功能。</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a)</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指标角色授权</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可选择某个指标，设置对应角色的指标权限，具体如下：</w:t>
      </w:r>
    </w:p>
    <w:p>
      <w:pPr>
        <w:spacing w:line="360" w:lineRule="auto"/>
        <w:ind w:left="708" w:leftChars="354"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归口/本级属性：归口用户可查看全院所有科室的数据、本级只可查看用户所属科室的数据</w:t>
      </w:r>
    </w:p>
    <w:p>
      <w:pPr>
        <w:spacing w:line="360" w:lineRule="auto"/>
        <w:ind w:left="708" w:leftChars="354"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指标其他属性：如针对科室人数指标，按照岗位分类进行授权，可定向配置只允许查看该指标医生岗位的人数数据</w:t>
      </w:r>
    </w:p>
    <w:p>
      <w:pPr>
        <w:spacing w:line="360" w:lineRule="auto"/>
        <w:ind w:left="708" w:leftChars="354"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导出权限：控制在指标分析的报表页面是否允许导出</w:t>
      </w:r>
    </w:p>
    <w:p>
      <w:pPr>
        <w:spacing w:line="360" w:lineRule="auto"/>
        <w:ind w:left="708" w:leftChars="354"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下钻权限：控制是否可以进行指标下钻展示</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b)</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角色指标授权</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可切换授权维度，选择某个角色，设置对应指标的角色权限，包括归口/本级属性、指标其他属性、导出权限、下钻权限</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c)</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指标科室对应管理</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设置指标的参与排名科室</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d)</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角色管理</w:t>
      </w:r>
    </w:p>
    <w:p>
      <w:pPr>
        <w:spacing w:line="360" w:lineRule="auto"/>
        <w:ind w:left="426" w:leftChars="21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优化角色维护功能，可设置功能角色与业务角色，更好的对菜单和指标分别进行授权</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左翼-国考指标监测</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指标监测首页指标范围由原先国考指标体系中的7个指标，扩充到全部国考51项定量指标，新开发指标44个，具体如下：</w:t>
      </w:r>
    </w:p>
    <w:p>
      <w:pPr>
        <w:spacing w:line="360" w:lineRule="auto"/>
        <w:ind w:left="284" w:leftChars="142" w:firstLine="282" w:firstLineChars="117"/>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a)</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医疗质量指标16个：门急诊人次与出院人次比、下转患者人次数（门急诊、住院）、日间手术占择期手术比例、特需医疗服务占比、手术患者并发症发生率、I类切口手术部位感染率、单病种质量控制、大型医用设备检查阳性率、通过国家室间质量评价的临床检验项目数、低风险组病例死亡率、优质护理服务病房覆盖率、点评处方占处方总数的比例、基本药物采购品种数占比、国家组织药品集中采购中标药品使用比例、门诊患者平均预约诊疗率、门诊患者预约后平均等待时间</w:t>
      </w:r>
    </w:p>
    <w:p>
      <w:pPr>
        <w:spacing w:line="360" w:lineRule="auto"/>
        <w:ind w:left="284" w:leftChars="142" w:firstLine="282" w:firstLineChars="117"/>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b)</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运营效率指标17个：每名执业医师日均住院工作负担、每百张病床药师人数、门诊收入占医疗收入比例、门诊收入中来自医保基金的比例、住院收入占医疗收入比例、住院收入中来自医保基金的比例、辅助用药收入占比、人员支出占业务支出比重（人员经费占比）、万元收入能耗支出（万元收入能耗占比）、收支结余（医疗盈余率）、资产负债率、医疗收入增幅、门诊次均费用增幅、门诊次均药品费用增幅、住院次均费用增幅、住院次均药品费用增幅、重点监控高值医用耗材收入占比</w:t>
      </w:r>
    </w:p>
    <w:p>
      <w:pPr>
        <w:spacing w:line="360" w:lineRule="auto"/>
        <w:ind w:left="284" w:leftChars="142" w:firstLine="280" w:firstLineChars="117"/>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c)</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持续发展指标8个：卫生技术人员职称结构、麻醉、儿科、重症、病理、中医医师占比、医护比、医院接受其他医院（尤其是对口支援医院、医联体内医院）进修并返回原医院独立工作人数占比、医院住院医师首次参加医师资格考试通过率、医院承担培养医学人才的工作成效、每百名卫生技术人员科研项目经费、每百名卫生技术人员科研成果转化金额</w:t>
      </w:r>
    </w:p>
    <w:p>
      <w:pPr>
        <w:spacing w:line="360" w:lineRule="auto"/>
        <w:ind w:left="284" w:leftChars="142" w:firstLine="280" w:firstLineChars="117"/>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d)</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满意度指标3个：门诊患者满意度、住院患者满意度、医务人员满意度</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（2）新开发最新年度的国考指标数据展示功能，没有上报数据的指标，采用数据仓库现有数据源，按照国考指标统计口径，进行计算展示；</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（3）对新增的44个国考监测指标，进行下钻明细页面的开发，部分指标开发了多层下钻功能，共200多张下钻页面，下钻内容包括科室排名、指标3年趋势图、结构图、明细数据展示等。</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大屏首页-驾驶舱</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（1）调整驾驶舱授权功能架构，增加其对科主任角色的授权功能，可查看科主任本科室的指标数据；</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（2）驾驶舱-门诊主题中增加门诊人次与出院人次比指标，当非急诊科的科主任用户查看驾驶舱时，原“急诊危重症病人比例”指标会自动切换为新指标；</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右翼-科室运营分析</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（1）首页-资源配置增加1.5“百元固定资产医疗收入水平”，并增加下钻表展示指标趋势及科室排名明细；</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调整科室运营授权功能架构，增加其对职能科室归口管理指标的授权功能，可针对职能科室用户，查看其归口管理范围内的相应指标情况；增加对部分指标进行指标具体分类属性的授权，针对人数、资产等指标，可单独控制只允许查看如医生、护士这一分类的指标属性权限</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右翼-科室对比</w:t>
      </w:r>
    </w:p>
    <w:p>
      <w:pPr>
        <w:spacing w:line="360" w:lineRule="auto"/>
        <w:ind w:firstLine="426" w:firstLineChars="177"/>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可自由选择2个科室，进行关键指标的比较，指标包括：科室人数、科室面积、资产占用、人均门诊人次、人均出院人次、出院患者手术占比、床位使用率、DRGs费用结算率、科室人均结余、医疗服务收入占比、百元医疗收入卫生材料消耗、医疗收入增幅、门急诊患者次均费用、出院患者次均费用；通过对比进度条和雷达图直观的观测科室间各指标的比较情况。</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右翼-医生组对比</w:t>
      </w:r>
    </w:p>
    <w:p>
      <w:pPr>
        <w:spacing w:line="360" w:lineRule="auto"/>
        <w:ind w:firstLine="426" w:firstLineChars="177"/>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可自由选择2组医生，形成2个诊疗组，并进行关键指标的比较，指标包括：门诊人次、出院人次、平均住院日、DRGs费用结算率、医疗服务收入占比、百元医疗收入卫生材料消耗、医疗收入增幅、门急诊患者次均费用、出院患者次均费用；通过对比进度条和雷达图直观的观测诊疗组间各指标的比较情况。</w:t>
      </w:r>
    </w:p>
    <w:p>
      <w:pPr>
        <w:pStyle w:val="2"/>
        <w:rPr>
          <w:rFonts w:eastAsiaTheme="minorEastAsia"/>
        </w:rPr>
      </w:pPr>
    </w:p>
    <w:p>
      <w:pPr>
        <w:pStyle w:val="427"/>
        <w:tabs>
          <w:tab w:val="clear" w:pos="1760"/>
        </w:tabs>
        <w:spacing w:before="0"/>
        <w:ind w:left="0" w:leftChars="0" w:right="0" w:rightChars="0"/>
        <w:rPr>
          <w:color w:val="000000"/>
          <w:lang w:eastAsia="zh-CN"/>
        </w:rPr>
      </w:pPr>
      <w:r>
        <w:rPr>
          <w:rFonts w:hint="eastAsia"/>
          <w:color w:val="000000"/>
          <w:lang w:eastAsia="zh-CN"/>
        </w:rPr>
        <w:t>三、</w:t>
      </w:r>
      <w:r>
        <w:rPr>
          <w:color w:val="000000"/>
          <w:lang w:eastAsia="zh-CN"/>
        </w:rPr>
        <w:t>实施及售后服务要求</w:t>
      </w:r>
    </w:p>
    <w:p>
      <w:pPr>
        <w:spacing w:line="360" w:lineRule="auto"/>
        <w:rPr>
          <w:rFonts w:ascii="宋体" w:hAnsi="宋体" w:eastAsia="宋体"/>
          <w:b/>
          <w:bCs/>
          <w:color w:val="000000"/>
          <w:sz w:val="24"/>
          <w:szCs w:val="24"/>
        </w:rPr>
      </w:pPr>
      <w:r>
        <w:rPr>
          <w:rFonts w:ascii="宋体" w:hAnsi="宋体" w:eastAsia="宋体"/>
          <w:b/>
          <w:bCs/>
          <w:color w:val="000000"/>
          <w:sz w:val="24"/>
          <w:szCs w:val="24"/>
        </w:rPr>
        <w:t>（1）实施管理要求</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1、供应商应提供高质量的实施团队，并尽快在规定的时间内完成项目的实施工作，确保软件可以按时上线运行</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2、实施内容</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2.1 完成“</w:t>
      </w:r>
      <w:r>
        <w:rPr>
          <w:rFonts w:hint="eastAsia" w:ascii="宋体" w:hAnsi="宋体" w:eastAsia="宋体"/>
          <w:sz w:val="24"/>
          <w:szCs w:val="24"/>
          <w:lang w:val="en-US"/>
        </w:rPr>
        <w:t>医院经济运营信息平台(国考指标监测)</w:t>
      </w:r>
      <w:r>
        <w:rPr>
          <w:rFonts w:ascii="宋体" w:hAnsi="宋体" w:eastAsia="宋体"/>
          <w:color w:val="000000"/>
          <w:sz w:val="24"/>
          <w:szCs w:val="24"/>
        </w:rPr>
        <w:t>”，由专业技术人员上门安装、调试、配置系统。</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2.2 培训相关操作和管理人员，保障工作人员能熟练操作本项目系统，制定培训计划，包括但不限于（1）对院领导、科主任、归口负责人、科室人员等不同对象的培训计划；（2）培训课程安排、培训方式由原厂商提供，时间、地点及场所由医院提供;（3）提供系统操作培训：主要面向使用系统的人员，提供操作培训。</w:t>
      </w:r>
    </w:p>
    <w:p>
      <w:pPr>
        <w:spacing w:line="360" w:lineRule="auto"/>
        <w:rPr>
          <w:rFonts w:ascii="宋体" w:hAnsi="宋体" w:eastAsia="宋体"/>
          <w:b/>
          <w:bCs/>
          <w:color w:val="000000"/>
          <w:sz w:val="24"/>
          <w:szCs w:val="24"/>
        </w:rPr>
      </w:pPr>
      <w:r>
        <w:rPr>
          <w:rFonts w:ascii="宋体" w:hAnsi="宋体" w:eastAsia="宋体"/>
          <w:b/>
          <w:bCs/>
          <w:color w:val="000000"/>
          <w:sz w:val="24"/>
          <w:szCs w:val="24"/>
        </w:rPr>
        <w:t>（2）售后服务要求</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1、售后服务机制</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1.1.供应商应提供全方位的服务，包括：技术咨询、操作培训、系统维护、数据库调优等。</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1.2.有专门的服务队伍，以确保服务畅通和高效，实行项目经理负责制。</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1.3.有完备的跟踪服务制度，通过定期的电话回访、走访等方式对服务进行跟踪，以保证客户满意。</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2、售后服务体系</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2.1.供应商应拥有专业的开发团队，在项目实施前后为用户提供一致的技术支持体验，其中包括技术咨询、实施指导、运行维护和定期回访等，能解决项目运行过程中的技术问题。</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2.2对项目实行“首问负责制”，即对于采购人所提出的需要解决和服务的问题，只要将该问题对售后服务部门内任何一位员工反映即可得到主动式服务。</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3、售后服务方式</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3.1.电话支持，为使用方提供 7×24 小时的全方位服务，除了提供公司的技术服务支持电话外，还应注明项目主要技术成员的移动电话，用于双方及时沟通并解决问题，电话支持即时响应。</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3.2.现场服务，对于电话不能很好解决及其他必须亲临现场服务的内容，供应商应在第一时间根据具体情况迅速安排人员24小时内快速到达现场提供服务。</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3.3远程服务，供应商可借助网络工具远程实时维护系统，如 QQ、微信远程协助等功能对采购人系统进行远程实时系统维护及操作指导，帮助采购人快速解决遇到的大多数软件及系统方面的问题。</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4、售后服务范围</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4.1.提供相关帮助文档，开展相关培训；</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4.2.日常运行中的故障排除及维护；系统所处网络环境、主机及其他外设适配带来的调整工作；系统与其他软件适配带来的调整工作；</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4.3.其他可通过远程协助解决的技术问题；</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5、质保期：供应商应确保本次采购的所有产品安全稳定的运行，并承诺提供1年免费质保服务（自验收报告签字确认日起，开始进入质保期）</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四</w:t>
      </w:r>
      <w:r>
        <w:rPr>
          <w:rFonts w:ascii="宋体" w:hAnsi="宋体" w:eastAsia="宋体"/>
          <w:b/>
          <w:bCs/>
          <w:color w:val="000000"/>
          <w:sz w:val="24"/>
          <w:szCs w:val="24"/>
        </w:rPr>
        <w:t>、报价说明：</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（2）供应商的任何错漏、优惠、竞争性报价不得作为减轻责任、减少服务、增加收费、降低服务质量的理由。</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五</w:t>
      </w:r>
      <w:r>
        <w:rPr>
          <w:rFonts w:ascii="宋体" w:hAnsi="宋体" w:eastAsia="宋体"/>
          <w:b/>
          <w:bCs/>
          <w:color w:val="000000"/>
          <w:sz w:val="24"/>
          <w:szCs w:val="24"/>
        </w:rPr>
        <w:t>、付款条件：</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（1）履约保证金：不涉及</w:t>
      </w:r>
    </w:p>
    <w:p>
      <w:pPr>
        <w:spacing w:line="360" w:lineRule="auto"/>
        <w:ind w:firstLine="424" w:firstLineChars="177"/>
        <w:rPr>
          <w:rFonts w:ascii="宋体" w:hAnsi="宋体" w:eastAsia="宋体"/>
          <w:color w:val="000000" w:themeColor="text1"/>
          <w:sz w:val="24"/>
          <w:szCs w:val="24"/>
          <w14:textFill>
            <w14:solidFill>
              <w14:schemeClr w14:val="tx1"/>
            </w14:solidFill>
          </w14:textFill>
        </w:rPr>
      </w:pPr>
      <w:r>
        <w:rPr>
          <w:rFonts w:ascii="宋体" w:hAnsi="宋体" w:eastAsia="宋体"/>
          <w:color w:val="000000"/>
          <w:sz w:val="24"/>
          <w:szCs w:val="24"/>
        </w:rPr>
        <w:t>（2）付款方式：合同签订后付款30%，项目交付完成后付款60%，质保期满一年后付款10%。</w:t>
      </w:r>
    </w:p>
    <w:p>
      <w:pPr>
        <w:pStyle w:val="57"/>
        <w:spacing w:after="0"/>
        <w:ind w:firstLine="211"/>
        <w:rPr>
          <w:rFonts w:ascii="宋体" w:hAnsi="宋体"/>
          <w:b/>
          <w:szCs w:val="21"/>
        </w:rPr>
      </w:pPr>
    </w:p>
    <w:p>
      <w:pPr>
        <w:widowControl/>
        <w:jc w:val="left"/>
        <w:rPr>
          <w:rFonts w:ascii="宋体" w:hAnsi="宋体" w:eastAsia="宋体"/>
          <w:sz w:val="24"/>
          <w:szCs w:val="24"/>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0" w:name="_Toc381716888"/>
      <w:r>
        <w:rPr>
          <w:rFonts w:hint="eastAsia" w:hAnsi="宋体"/>
          <w:sz w:val="32"/>
          <w:szCs w:val="32"/>
        </w:rPr>
        <w:t>第四章  响应文件格式</w:t>
      </w:r>
      <w:bookmarkEnd w:id="0"/>
    </w:p>
    <w:p>
      <w:pPr>
        <w:pStyle w:val="4"/>
        <w:spacing w:before="210" w:after="3"/>
        <w:ind w:left="7"/>
        <w:jc w:val="center"/>
      </w:pPr>
      <w:r>
        <w:rPr>
          <w:rFonts w:hint="eastAsia"/>
        </w:rPr>
        <w:t>资格自查表</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29"/>
              <w:spacing w:before="120" w:line="360" w:lineRule="auto"/>
              <w:jc w:val="center"/>
              <w:rPr>
                <w:rFonts w:ascii="宋体" w:hAnsi="宋体" w:eastAsia="宋体"/>
                <w:b/>
                <w:sz w:val="24"/>
                <w:szCs w:val="24"/>
                <w:lang w:val="en-US"/>
              </w:rPr>
            </w:pPr>
          </w:p>
        </w:tc>
      </w:tr>
    </w:tbl>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29"/>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经济运营信息平台(国考指标监测)项目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sz w:val="24"/>
          <w:szCs w:val="24"/>
        </w:rPr>
        <w:br w:type="textWrapping"/>
      </w:r>
      <w:r>
        <w:rPr>
          <w:rFonts w:hint="eastAsia" w:ascii="宋体" w:hAnsi="宋体" w:eastAsia="宋体"/>
          <w:sz w:val="24"/>
          <w:szCs w:val="24"/>
        </w:rPr>
        <w:t>七、技术服务方案</w:t>
      </w:r>
    </w:p>
    <w:p>
      <w:pPr>
        <w:ind w:firstLine="480" w:firstLineChars="200"/>
        <w:rPr>
          <w:rFonts w:ascii="宋体" w:hAnsi="宋体" w:eastAsia="宋体"/>
          <w:sz w:val="24"/>
          <w:szCs w:val="24"/>
        </w:rPr>
      </w:pPr>
      <w:r>
        <w:rPr>
          <w:rFonts w:hint="eastAsia" w:ascii="宋体" w:hAnsi="宋体" w:eastAsia="宋体"/>
          <w:sz w:val="24"/>
          <w:szCs w:val="24"/>
        </w:rPr>
        <w:t>供应商结合需求提交相应的技术服务方案以及相关的报价</w:t>
      </w:r>
      <w:r>
        <w:rPr>
          <w:rFonts w:ascii="宋体" w:hAnsi="宋体" w:eastAsia="宋体"/>
          <w:sz w:val="24"/>
          <w:szCs w:val="24"/>
        </w:rPr>
        <w:br w:type="textWrapping"/>
      </w: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1"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1"/>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
        <w:rPr>
          <w:rFonts w:eastAsiaTheme="minorEastAsia"/>
        </w:rPr>
      </w:pPr>
    </w:p>
    <w:p>
      <w:pPr>
        <w:rPr>
          <w:rFonts w:eastAsiaTheme="minorEastAsia"/>
        </w:rPr>
      </w:pPr>
    </w:p>
    <w:p>
      <w:pPr>
        <w:pStyle w:val="2"/>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eastAsiaTheme="minorEastAsia"/>
          <w:b/>
          <w:bCs/>
        </w:rPr>
      </w:pPr>
      <w:r>
        <w:rPr>
          <w:rFonts w:eastAsiaTheme="minorEastAsia"/>
          <w:b/>
          <w:bCs/>
          <w:color w:val="FF0000"/>
        </w:rPr>
        <w:br w:type="textWrapping"/>
      </w:r>
    </w:p>
    <w:p>
      <w:pPr>
        <w:pStyle w:val="2"/>
        <w:rPr>
          <w:rFonts w:eastAsiaTheme="minorEastAsia"/>
        </w:rPr>
      </w:pPr>
    </w:p>
    <w:p>
      <w:pPr>
        <w:rPr>
          <w:rFonts w:eastAsiaTheme="minorEastAsia"/>
          <w:b/>
          <w:bCs/>
          <w:sz w:val="32"/>
          <w:szCs w:val="32"/>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r>
        <w:rPr>
          <w:rFonts w:eastAsiaTheme="minorEastAsia"/>
          <w:b/>
          <w:bCs/>
          <w:sz w:val="32"/>
          <w:szCs w:val="32"/>
        </w:rPr>
        <w:br w:type="textWrapping"/>
      </w:r>
      <w:r>
        <w:rPr>
          <w:rFonts w:eastAsiaTheme="minorEastAsia"/>
          <w:b/>
          <w:bCs/>
          <w:sz w:val="32"/>
          <w:szCs w:val="32"/>
        </w:rPr>
        <w:br w:type="textWrapping"/>
      </w:r>
      <w:r>
        <w:rPr>
          <w:rFonts w:hint="eastAsia" w:eastAsiaTheme="minorEastAsia"/>
          <w:b/>
          <w:bCs/>
          <w:sz w:val="32"/>
          <w:szCs w:val="32"/>
        </w:rPr>
        <w:t>致:南京市江宁医院</w:t>
      </w:r>
      <w:r>
        <w:rPr>
          <w:rFonts w:eastAsiaTheme="minorEastAsia"/>
          <w:b/>
          <w:bCs/>
          <w:sz w:val="32"/>
          <w:szCs w:val="32"/>
        </w:rPr>
        <w:br w:type="textWrapping"/>
      </w:r>
    </w:p>
    <w:p>
      <w:pPr>
        <w:pStyle w:val="2"/>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
        <w:rPr>
          <w:rFonts w:eastAsiaTheme="minorEastAsia"/>
        </w:rPr>
      </w:pPr>
    </w:p>
    <w:p>
      <w:pPr>
        <w:rPr>
          <w:rFonts w:eastAsiaTheme="minorEastAsia"/>
        </w:rPr>
      </w:pPr>
      <w:r>
        <w:rPr>
          <w:rFonts w:eastAsiaTheme="minorEastAsia"/>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zh-CN"/>
              </w:rPr>
            </w:pPr>
            <w:r>
              <w:rPr>
                <w:rFonts w:hint="eastAsia" w:eastAsiaTheme="minorEastAsia"/>
                <w:szCs w:val="22"/>
                <w:lang w:eastAsia="zh-CN"/>
              </w:rPr>
              <w:t>项目询价论证答疑时间</w:t>
            </w:r>
          </w:p>
        </w:tc>
        <w:tc>
          <w:tcPr>
            <w:tcW w:w="4253" w:type="dxa"/>
          </w:tcPr>
          <w:p>
            <w:pPr>
              <w:autoSpaceDE w:val="0"/>
              <w:autoSpaceDN w:val="0"/>
              <w:rPr>
                <w:rFonts w:eastAsiaTheme="minorEastAsia"/>
                <w:szCs w:val="22"/>
                <w:lang w:eastAsia="en-US"/>
              </w:rPr>
            </w:pPr>
            <w:r>
              <w:rPr>
                <w:rFonts w:hint="eastAsia" w:eastAsiaTheme="minorEastAsia"/>
                <w:szCs w:val="22"/>
                <w:highlight w:val="none"/>
                <w:lang w:eastAsia="en-US"/>
              </w:rPr>
              <w:t>2</w:t>
            </w:r>
            <w:r>
              <w:rPr>
                <w:rFonts w:eastAsiaTheme="minorEastAsia"/>
                <w:szCs w:val="22"/>
                <w:highlight w:val="none"/>
                <w:lang w:eastAsia="en-US"/>
              </w:rPr>
              <w:t>023</w:t>
            </w:r>
            <w:r>
              <w:rPr>
                <w:rFonts w:hint="eastAsia" w:eastAsiaTheme="minorEastAsia"/>
                <w:szCs w:val="22"/>
                <w:highlight w:val="none"/>
                <w:lang w:eastAsia="en-US"/>
              </w:rPr>
              <w:t>年</w:t>
            </w:r>
            <w:r>
              <w:rPr>
                <w:rFonts w:hint="eastAsia" w:eastAsiaTheme="minorEastAsia"/>
                <w:szCs w:val="22"/>
                <w:highlight w:val="none"/>
                <w:lang w:val="en-US" w:eastAsia="zh-CN"/>
              </w:rPr>
              <w:t>11</w:t>
            </w:r>
            <w:r>
              <w:rPr>
                <w:rFonts w:hint="eastAsia" w:eastAsiaTheme="minorEastAsia"/>
                <w:szCs w:val="22"/>
                <w:highlight w:val="none"/>
                <w:lang w:eastAsia="en-US"/>
              </w:rPr>
              <w:t>月</w:t>
            </w:r>
            <w:r>
              <w:rPr>
                <w:rFonts w:hint="eastAsia" w:eastAsiaTheme="minorEastAsia"/>
                <w:szCs w:val="22"/>
                <w:highlight w:val="none"/>
                <w:lang w:val="en-US" w:eastAsia="zh-CN"/>
              </w:rPr>
              <w:t>7</w:t>
            </w:r>
            <w:r>
              <w:rPr>
                <w:rFonts w:hint="eastAsia" w:eastAsiaTheme="minorEastAsia"/>
                <w:szCs w:val="22"/>
                <w:highlight w:val="none"/>
                <w:lang w:eastAsia="en-US"/>
              </w:rPr>
              <w:t>日1</w:t>
            </w:r>
            <w:r>
              <w:rPr>
                <w:rFonts w:hint="eastAsia" w:eastAsiaTheme="minorEastAsia"/>
                <w:szCs w:val="22"/>
                <w:highlight w:val="none"/>
                <w:lang w:val="en-US" w:eastAsia="zh-CN"/>
              </w:rPr>
              <w:t>4</w:t>
            </w:r>
            <w:r>
              <w:rPr>
                <w:rFonts w:hint="eastAsia" w:eastAsiaTheme="minorEastAsia"/>
                <w:szCs w:val="22"/>
                <w:highlight w:val="none"/>
                <w:lang w:eastAsia="en-US"/>
              </w:rPr>
              <w:t>:</w:t>
            </w:r>
            <w:r>
              <w:rPr>
                <w:rFonts w:eastAsiaTheme="minorEastAsia"/>
                <w:szCs w:val="22"/>
                <w:highlight w:val="none"/>
                <w:lang w:eastAsia="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
        <w:rPr>
          <w:rFonts w:eastAsiaTheme="minorEastAsia"/>
        </w:rPr>
      </w:pPr>
    </w:p>
    <w:p>
      <w:pPr>
        <w:rPr>
          <w:rFonts w:eastAsiaTheme="minorEastAsia"/>
        </w:rPr>
      </w:pPr>
    </w:p>
    <w:p>
      <w:pPr>
        <w:pStyle w:val="2"/>
        <w:rPr>
          <w:rFonts w:eastAsiaTheme="minorEastAsia"/>
        </w:rPr>
      </w:pPr>
      <w:r>
        <w:rPr>
          <w:rFonts w:hint="eastAsia" w:eastAsiaTheme="minorEastAsia"/>
        </w:rPr>
        <w:t xml:space="preserve"> </w:t>
      </w:r>
      <w:r>
        <w:rPr>
          <w:rFonts w:eastAsiaTheme="minorEastAsia"/>
        </w:rPr>
        <w:t xml:space="preserve">                                 </w:t>
      </w:r>
      <w:bookmarkStart w:id="3" w:name="_GoBack"/>
      <w:bookmarkEnd w:id="3"/>
      <w:r>
        <w:rPr>
          <w:rFonts w:eastAsiaTheme="minorEastAsia"/>
        </w:rPr>
        <w:t xml:space="preserve">         </w:t>
      </w:r>
      <w:r>
        <w:rPr>
          <w:rFonts w:hint="eastAsia" w:eastAsiaTheme="minorEastAsia"/>
        </w:rPr>
        <w:t>供应商名称:(盖章)</w:t>
      </w:r>
    </w:p>
    <w:p>
      <w:pPr>
        <w:pStyle w:val="2"/>
        <w:rPr>
          <w:rFonts w:eastAsiaTheme="minorEastAsia"/>
        </w:rPr>
      </w:pPr>
      <w:r>
        <w:rPr>
          <w:rFonts w:eastAsiaTheme="minorEastAsia"/>
        </w:rPr>
        <w:t xml:space="preserve">                                           </w:t>
      </w:r>
      <w:r>
        <w:rPr>
          <w:rFonts w:hint="eastAsia" w:eastAsiaTheme="minorEastAsia"/>
        </w:rPr>
        <w:t>报名时间:</w:t>
      </w:r>
      <w:r>
        <w:rPr>
          <w:rFonts w:eastAsiaTheme="minorEastAsia"/>
        </w:rPr>
        <w:br w:type="textWrapping"/>
      </w:r>
      <w:r>
        <w:rPr>
          <w:rFonts w:eastAsiaTheme="minorEastAsia"/>
        </w:rPr>
        <w:br w:type="textWrapping"/>
      </w:r>
      <w:r>
        <w:rPr>
          <w:rFonts w:eastAsiaTheme="minorEastAsia"/>
        </w:rPr>
        <w:br w:type="textWrapping"/>
      </w: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r>
        <w:rPr>
          <w:rFonts w:eastAsiaTheme="minorEastAsia"/>
          <w:sz w:val="21"/>
          <w:szCs w:val="21"/>
        </w:rPr>
        <w:br w:type="textWrapping"/>
      </w:r>
    </w:p>
    <w:p>
      <w:pPr>
        <w:pStyle w:val="2"/>
        <w:rPr>
          <w:rFonts w:eastAsiaTheme="minorEastAsia"/>
        </w:rPr>
      </w:pPr>
    </w:p>
    <w:p>
      <w:pPr>
        <w:pStyle w:val="2"/>
        <w:rPr>
          <w:rFonts w:eastAsiaTheme="minorEastAsia"/>
        </w:rPr>
      </w:pPr>
    </w:p>
    <w:p>
      <w:pPr>
        <w:pStyle w:val="2"/>
        <w:rPr>
          <w:rFonts w:eastAsiaTheme="minorEastAsia"/>
        </w:rPr>
        <w:sectPr>
          <w:headerReference r:id="rId8" w:type="default"/>
          <w:footerReference r:id="rId9" w:type="default"/>
          <w:footerReference r:id="rId10"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 w:name="_Toc476153619"/>
      <w:r>
        <w:rPr>
          <w:rFonts w:hint="eastAsia" w:ascii="仿宋" w:hAnsi="仿宋" w:eastAsia="仿宋" w:cs="Times New Roman"/>
          <w:b/>
          <w:sz w:val="30"/>
          <w:szCs w:val="30"/>
        </w:rPr>
        <w:t>中小企业划型标准</w:t>
      </w:r>
      <w:bookmarkEnd w:id="2"/>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pStyle w:val="2"/>
        <w:rPr>
          <w:rFonts w:eastAsiaTheme="minorEastAsia"/>
          <w:lang w:bidi="zh-CN"/>
        </w:rPr>
      </w:pPr>
    </w:p>
    <w:p>
      <w:pPr>
        <w:rPr>
          <w:rFonts w:eastAsiaTheme="minorEastAsia"/>
          <w:lang w:bidi="zh-CN"/>
        </w:rPr>
      </w:pPr>
    </w:p>
    <w:p>
      <w:pPr>
        <w:pStyle w:val="2"/>
        <w:rPr>
          <w:rFonts w:eastAsiaTheme="minorEastAsia"/>
          <w:lang w:bidi="zh-CN"/>
        </w:rPr>
      </w:pPr>
    </w:p>
    <w:p>
      <w:pPr>
        <w:pStyle w:val="2"/>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separate"/>
    </w:r>
    <w:r>
      <w:rPr>
        <w:rStyle w:val="63"/>
      </w:rPr>
      <w:t>19</w:t>
    </w:r>
    <w:r>
      <w:rPr>
        <w:rStyle w:val="63"/>
      </w:rP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DF724E3"/>
    <w:multiLevelType w:val="singleLevel"/>
    <w:tmpl w:val="2DF724E3"/>
    <w:lvl w:ilvl="0" w:tentative="0">
      <w:start w:val="1"/>
      <w:numFmt w:val="decimal"/>
      <w:lvlText w:val="%1."/>
      <w:lvlJc w:val="left"/>
      <w:pPr>
        <w:tabs>
          <w:tab w:val="left" w:pos="312"/>
        </w:tabs>
      </w:pPr>
    </w:lvl>
  </w:abstractNum>
  <w:abstractNum w:abstractNumId="2">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D093B"/>
    <w:rsid w:val="000E05B4"/>
    <w:rsid w:val="000E53DD"/>
    <w:rsid w:val="000F70FB"/>
    <w:rsid w:val="00140A13"/>
    <w:rsid w:val="00147DCB"/>
    <w:rsid w:val="00151DDF"/>
    <w:rsid w:val="00153C27"/>
    <w:rsid w:val="0016494C"/>
    <w:rsid w:val="00170BF3"/>
    <w:rsid w:val="001766E5"/>
    <w:rsid w:val="00186EDC"/>
    <w:rsid w:val="00191BA0"/>
    <w:rsid w:val="00195083"/>
    <w:rsid w:val="001A0EED"/>
    <w:rsid w:val="001A59EA"/>
    <w:rsid w:val="001C2C99"/>
    <w:rsid w:val="001E018C"/>
    <w:rsid w:val="001E229B"/>
    <w:rsid w:val="001E2F1F"/>
    <w:rsid w:val="001F5E9A"/>
    <w:rsid w:val="002070AA"/>
    <w:rsid w:val="00211D90"/>
    <w:rsid w:val="0022296F"/>
    <w:rsid w:val="00225837"/>
    <w:rsid w:val="00243F24"/>
    <w:rsid w:val="0025207D"/>
    <w:rsid w:val="002522BC"/>
    <w:rsid w:val="002729D0"/>
    <w:rsid w:val="0028400B"/>
    <w:rsid w:val="00284DA9"/>
    <w:rsid w:val="00292BE8"/>
    <w:rsid w:val="002A25B5"/>
    <w:rsid w:val="002C19DA"/>
    <w:rsid w:val="002C2948"/>
    <w:rsid w:val="002D7C87"/>
    <w:rsid w:val="002F3C04"/>
    <w:rsid w:val="002F49B1"/>
    <w:rsid w:val="0031050D"/>
    <w:rsid w:val="00311831"/>
    <w:rsid w:val="00313077"/>
    <w:rsid w:val="00325489"/>
    <w:rsid w:val="003375B7"/>
    <w:rsid w:val="00364DEC"/>
    <w:rsid w:val="003662BD"/>
    <w:rsid w:val="00380AD5"/>
    <w:rsid w:val="00381991"/>
    <w:rsid w:val="0038403A"/>
    <w:rsid w:val="003A5D47"/>
    <w:rsid w:val="003C1BE6"/>
    <w:rsid w:val="003C2828"/>
    <w:rsid w:val="003C3FEA"/>
    <w:rsid w:val="003C5AF2"/>
    <w:rsid w:val="003F0311"/>
    <w:rsid w:val="00401F70"/>
    <w:rsid w:val="00406507"/>
    <w:rsid w:val="00407786"/>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C2772"/>
    <w:rsid w:val="004C45FC"/>
    <w:rsid w:val="004C7881"/>
    <w:rsid w:val="004E13C0"/>
    <w:rsid w:val="004E2781"/>
    <w:rsid w:val="004F64ED"/>
    <w:rsid w:val="00517F6D"/>
    <w:rsid w:val="00534A80"/>
    <w:rsid w:val="00547664"/>
    <w:rsid w:val="00570CEC"/>
    <w:rsid w:val="00572F7A"/>
    <w:rsid w:val="00577BA5"/>
    <w:rsid w:val="005840CC"/>
    <w:rsid w:val="005B5643"/>
    <w:rsid w:val="005B58E5"/>
    <w:rsid w:val="005E3037"/>
    <w:rsid w:val="005E3341"/>
    <w:rsid w:val="005E7E69"/>
    <w:rsid w:val="00603E70"/>
    <w:rsid w:val="0060519D"/>
    <w:rsid w:val="00605470"/>
    <w:rsid w:val="00607933"/>
    <w:rsid w:val="00617FAB"/>
    <w:rsid w:val="00620FA2"/>
    <w:rsid w:val="00621393"/>
    <w:rsid w:val="006363CA"/>
    <w:rsid w:val="006471DC"/>
    <w:rsid w:val="00665AC9"/>
    <w:rsid w:val="00666114"/>
    <w:rsid w:val="006A50FC"/>
    <w:rsid w:val="006A5AEA"/>
    <w:rsid w:val="006B7064"/>
    <w:rsid w:val="006C2433"/>
    <w:rsid w:val="006C3292"/>
    <w:rsid w:val="006D0C5A"/>
    <w:rsid w:val="006D10C0"/>
    <w:rsid w:val="006E5586"/>
    <w:rsid w:val="006F5101"/>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6633"/>
    <w:rsid w:val="00804422"/>
    <w:rsid w:val="00815673"/>
    <w:rsid w:val="00815E04"/>
    <w:rsid w:val="00817406"/>
    <w:rsid w:val="00834881"/>
    <w:rsid w:val="00854181"/>
    <w:rsid w:val="00855A87"/>
    <w:rsid w:val="00861EF6"/>
    <w:rsid w:val="00867646"/>
    <w:rsid w:val="00875CB3"/>
    <w:rsid w:val="00877A72"/>
    <w:rsid w:val="008A6535"/>
    <w:rsid w:val="008B7F6F"/>
    <w:rsid w:val="008C0BE5"/>
    <w:rsid w:val="008C3E6B"/>
    <w:rsid w:val="008D1FAD"/>
    <w:rsid w:val="008D3DB0"/>
    <w:rsid w:val="008D5812"/>
    <w:rsid w:val="008D58D5"/>
    <w:rsid w:val="008E1BCF"/>
    <w:rsid w:val="008E2F81"/>
    <w:rsid w:val="0090544F"/>
    <w:rsid w:val="00910587"/>
    <w:rsid w:val="00912CEF"/>
    <w:rsid w:val="009143C5"/>
    <w:rsid w:val="009279C7"/>
    <w:rsid w:val="00935974"/>
    <w:rsid w:val="00935E52"/>
    <w:rsid w:val="00943C30"/>
    <w:rsid w:val="009508D5"/>
    <w:rsid w:val="00990AA1"/>
    <w:rsid w:val="009A0DB5"/>
    <w:rsid w:val="009A4F87"/>
    <w:rsid w:val="009B43D6"/>
    <w:rsid w:val="009B7D99"/>
    <w:rsid w:val="009F19F6"/>
    <w:rsid w:val="009F59CC"/>
    <w:rsid w:val="00A063CA"/>
    <w:rsid w:val="00A17538"/>
    <w:rsid w:val="00A23FF0"/>
    <w:rsid w:val="00A441E7"/>
    <w:rsid w:val="00A451E9"/>
    <w:rsid w:val="00A718E8"/>
    <w:rsid w:val="00A75484"/>
    <w:rsid w:val="00A8231E"/>
    <w:rsid w:val="00A8610F"/>
    <w:rsid w:val="00A927BD"/>
    <w:rsid w:val="00AA5BC4"/>
    <w:rsid w:val="00AB5971"/>
    <w:rsid w:val="00AB5B6D"/>
    <w:rsid w:val="00AB6688"/>
    <w:rsid w:val="00AC075B"/>
    <w:rsid w:val="00AC080B"/>
    <w:rsid w:val="00AE14BE"/>
    <w:rsid w:val="00AE15CF"/>
    <w:rsid w:val="00AE16E5"/>
    <w:rsid w:val="00AE497A"/>
    <w:rsid w:val="00AF00CB"/>
    <w:rsid w:val="00AF127F"/>
    <w:rsid w:val="00AF254A"/>
    <w:rsid w:val="00B00CFB"/>
    <w:rsid w:val="00B056B5"/>
    <w:rsid w:val="00B1260B"/>
    <w:rsid w:val="00B14D73"/>
    <w:rsid w:val="00B2008D"/>
    <w:rsid w:val="00B259A4"/>
    <w:rsid w:val="00B27770"/>
    <w:rsid w:val="00B31084"/>
    <w:rsid w:val="00B330ED"/>
    <w:rsid w:val="00B33B9C"/>
    <w:rsid w:val="00B34B43"/>
    <w:rsid w:val="00B47CE1"/>
    <w:rsid w:val="00B6686E"/>
    <w:rsid w:val="00B71AB9"/>
    <w:rsid w:val="00B72C7F"/>
    <w:rsid w:val="00B7529A"/>
    <w:rsid w:val="00B80543"/>
    <w:rsid w:val="00B8159A"/>
    <w:rsid w:val="00B857F3"/>
    <w:rsid w:val="00B87D78"/>
    <w:rsid w:val="00BB0351"/>
    <w:rsid w:val="00BC5CCD"/>
    <w:rsid w:val="00BC79FE"/>
    <w:rsid w:val="00BE1BBB"/>
    <w:rsid w:val="00BF42C8"/>
    <w:rsid w:val="00BF75B0"/>
    <w:rsid w:val="00C169C2"/>
    <w:rsid w:val="00C2149B"/>
    <w:rsid w:val="00C27550"/>
    <w:rsid w:val="00C54221"/>
    <w:rsid w:val="00C61EAF"/>
    <w:rsid w:val="00C82F75"/>
    <w:rsid w:val="00C83081"/>
    <w:rsid w:val="00C91F46"/>
    <w:rsid w:val="00C94F8C"/>
    <w:rsid w:val="00CB4930"/>
    <w:rsid w:val="00CC0B22"/>
    <w:rsid w:val="00CE0C79"/>
    <w:rsid w:val="00CE5837"/>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50108"/>
    <w:rsid w:val="00D55278"/>
    <w:rsid w:val="00D5785C"/>
    <w:rsid w:val="00D64E6E"/>
    <w:rsid w:val="00D66C30"/>
    <w:rsid w:val="00D85538"/>
    <w:rsid w:val="00DA28DD"/>
    <w:rsid w:val="00DA3A34"/>
    <w:rsid w:val="00DC6A1D"/>
    <w:rsid w:val="00DC7859"/>
    <w:rsid w:val="00DD2261"/>
    <w:rsid w:val="00DD6898"/>
    <w:rsid w:val="00DE4863"/>
    <w:rsid w:val="00DE5327"/>
    <w:rsid w:val="00DF18DB"/>
    <w:rsid w:val="00E024DE"/>
    <w:rsid w:val="00E1540F"/>
    <w:rsid w:val="00E2192D"/>
    <w:rsid w:val="00E21FBA"/>
    <w:rsid w:val="00E3038D"/>
    <w:rsid w:val="00E347A0"/>
    <w:rsid w:val="00E55E99"/>
    <w:rsid w:val="00E6418D"/>
    <w:rsid w:val="00E64A3C"/>
    <w:rsid w:val="00E7320F"/>
    <w:rsid w:val="00E73BFB"/>
    <w:rsid w:val="00E806A1"/>
    <w:rsid w:val="00E84CB8"/>
    <w:rsid w:val="00E8695C"/>
    <w:rsid w:val="00E919CB"/>
    <w:rsid w:val="00EA032D"/>
    <w:rsid w:val="00EA21C6"/>
    <w:rsid w:val="00EA71B1"/>
    <w:rsid w:val="00EB0045"/>
    <w:rsid w:val="00EB3C48"/>
    <w:rsid w:val="00EB7356"/>
    <w:rsid w:val="00EC12B2"/>
    <w:rsid w:val="00ED6191"/>
    <w:rsid w:val="00F07F66"/>
    <w:rsid w:val="00F117A9"/>
    <w:rsid w:val="00F43C6A"/>
    <w:rsid w:val="00F50560"/>
    <w:rsid w:val="00F556C2"/>
    <w:rsid w:val="00F55E4C"/>
    <w:rsid w:val="00F6268C"/>
    <w:rsid w:val="00F8110D"/>
    <w:rsid w:val="00FC029A"/>
    <w:rsid w:val="00FC2FF3"/>
    <w:rsid w:val="00FE03AE"/>
    <w:rsid w:val="00FE6FEE"/>
    <w:rsid w:val="016051C5"/>
    <w:rsid w:val="01916F70"/>
    <w:rsid w:val="01933F6D"/>
    <w:rsid w:val="01DD0E47"/>
    <w:rsid w:val="023707B7"/>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10241E47"/>
    <w:rsid w:val="10254E80"/>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5F9021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F0A254A"/>
    <w:rsid w:val="2F2F016E"/>
    <w:rsid w:val="2F310B57"/>
    <w:rsid w:val="2F5063E8"/>
    <w:rsid w:val="2F905553"/>
    <w:rsid w:val="2FC11466"/>
    <w:rsid w:val="300C0FA4"/>
    <w:rsid w:val="305512E6"/>
    <w:rsid w:val="307B1D46"/>
    <w:rsid w:val="31471876"/>
    <w:rsid w:val="315A752B"/>
    <w:rsid w:val="31D24780"/>
    <w:rsid w:val="320067E0"/>
    <w:rsid w:val="326870FC"/>
    <w:rsid w:val="32832139"/>
    <w:rsid w:val="3292275F"/>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BA47B9"/>
    <w:rsid w:val="3EC561BA"/>
    <w:rsid w:val="3F160714"/>
    <w:rsid w:val="3F1E43F7"/>
    <w:rsid w:val="3F9D788F"/>
    <w:rsid w:val="3FB70CED"/>
    <w:rsid w:val="3FC3692B"/>
    <w:rsid w:val="403B4F2A"/>
    <w:rsid w:val="40425EE1"/>
    <w:rsid w:val="4054512C"/>
    <w:rsid w:val="40F840A1"/>
    <w:rsid w:val="4112072C"/>
    <w:rsid w:val="41406115"/>
    <w:rsid w:val="415471CE"/>
    <w:rsid w:val="41F65344"/>
    <w:rsid w:val="421419E6"/>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2EDA"/>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E795352"/>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7D63E2E"/>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DB7EED"/>
    <w:rsid w:val="6CED3B59"/>
    <w:rsid w:val="6CF8599D"/>
    <w:rsid w:val="6D633D24"/>
    <w:rsid w:val="6D740556"/>
    <w:rsid w:val="6DD11792"/>
    <w:rsid w:val="6DDC55EF"/>
    <w:rsid w:val="6E1C2564"/>
    <w:rsid w:val="6E7B14CE"/>
    <w:rsid w:val="6F1D43AC"/>
    <w:rsid w:val="6F375525"/>
    <w:rsid w:val="6F7F36E4"/>
    <w:rsid w:val="6FDC7430"/>
    <w:rsid w:val="703B73CE"/>
    <w:rsid w:val="70416E8C"/>
    <w:rsid w:val="70775921"/>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77B459A"/>
    <w:rsid w:val="779B6592"/>
    <w:rsid w:val="77B716ED"/>
    <w:rsid w:val="77C273B5"/>
    <w:rsid w:val="77C4710E"/>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qFormat/>
    <w:uiPriority w:val="0"/>
    <w:rPr>
      <w:rFonts w:asciiTheme="majorHAnsi" w:hAnsiTheme="majorHAnsi" w:eastAsiaTheme="majorEastAsia" w:cstheme="majorBidi"/>
      <w:b/>
      <w:bCs/>
      <w:kern w:val="0"/>
      <w:sz w:val="32"/>
      <w:szCs w:val="32"/>
      <w:lang w:val="zh-CN"/>
    </w:rPr>
  </w:style>
  <w:style w:type="character" w:customStyle="1" w:styleId="74">
    <w:name w:val="标题 3 字符"/>
    <w:basedOn w:val="60"/>
    <w:qFormat/>
    <w:uiPriority w:val="0"/>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字符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字符1"/>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字符1"/>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字符"/>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字符1"/>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字符1"/>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字符1"/>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字符1"/>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字符1"/>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字符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字符1"/>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字符1"/>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字符1"/>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字符1"/>
    <w:link w:val="11"/>
    <w:qFormat/>
    <w:uiPriority w:val="0"/>
    <w:rPr>
      <w:rFonts w:ascii="Arial" w:hAnsi="Arial" w:eastAsia="黑体" w:cs="Times New Roman"/>
      <w:sz w:val="24"/>
    </w:rPr>
  </w:style>
  <w:style w:type="character" w:customStyle="1" w:styleId="140">
    <w:name w:val="标题 9 字符1"/>
    <w:link w:val="12"/>
    <w:qFormat/>
    <w:uiPriority w:val="0"/>
    <w:rPr>
      <w:rFonts w:ascii="Arial" w:hAnsi="Arial" w:eastAsia="黑体" w:cs="Times New Roman"/>
      <w:szCs w:val="21"/>
    </w:rPr>
  </w:style>
  <w:style w:type="character" w:customStyle="1" w:styleId="141">
    <w:name w:val="标题 5 字符1"/>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字符1"/>
    <w:link w:val="19"/>
    <w:semiHidden/>
    <w:qFormat/>
    <w:uiPriority w:val="0"/>
    <w:rPr>
      <w:rFonts w:eastAsia="宋体"/>
      <w:shd w:val="clear" w:color="auto" w:fill="000080"/>
    </w:rPr>
  </w:style>
  <w:style w:type="character" w:customStyle="1" w:styleId="145">
    <w:name w:val="HTML 预设格式 字符1"/>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字符1"/>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字符1"/>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字符1"/>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字符"/>
    <w:basedOn w:val="60"/>
    <w:link w:val="36"/>
    <w:qFormat/>
    <w:uiPriority w:val="0"/>
    <w:rPr>
      <w:rFonts w:ascii="Calibri" w:hAnsi="Calibri" w:eastAsia="Calibri" w:cs="宋体"/>
      <w:kern w:val="0"/>
      <w:sz w:val="18"/>
      <w:szCs w:val="20"/>
      <w:lang w:val="zh-CN"/>
    </w:rPr>
  </w:style>
  <w:style w:type="character" w:customStyle="1" w:styleId="196">
    <w:name w:val="称呼 字符"/>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字符"/>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字符"/>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字符"/>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字符"/>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字符"/>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文本首行缩进 字符"/>
    <w:basedOn w:val="202"/>
    <w:link w:val="57"/>
    <w:qFormat/>
    <w:uiPriority w:val="0"/>
    <w:rPr>
      <w:rFonts w:ascii="Times New Roman" w:hAnsi="Times New Roman" w:eastAsia="宋体" w:cs="宋体"/>
      <w:kern w:val="0"/>
      <w:sz w:val="28"/>
      <w:szCs w:val="20"/>
      <w:lang w:val="zh-CN"/>
    </w:rPr>
  </w:style>
  <w:style w:type="character" w:customStyle="1" w:styleId="232">
    <w:name w:val="日期 字符"/>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字符"/>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字符"/>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字符"/>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34"/>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character" w:customStyle="1" w:styleId="430">
    <w:name w:val="列出段落字符"/>
    <w:link w:val="431"/>
    <w:qFormat/>
    <w:uiPriority w:val="34"/>
    <w:rPr>
      <w:kern w:val="2"/>
      <w:sz w:val="21"/>
      <w:szCs w:val="24"/>
    </w:rPr>
  </w:style>
  <w:style w:type="paragraph" w:customStyle="1" w:styleId="431">
    <w:name w:val="列出段落3"/>
    <w:basedOn w:val="1"/>
    <w:link w:val="430"/>
    <w:qFormat/>
    <w:uiPriority w:val="34"/>
    <w:pPr>
      <w:ind w:firstLine="420" w:firstLineChars="200"/>
    </w:pPr>
    <w:rPr>
      <w:rFonts w:ascii="Times New Roman" w:hAnsi="Times New Roman" w:eastAsia="宋体" w:cs="Times New Roman"/>
      <w:kern w:val="2"/>
      <w:sz w:val="21"/>
      <w:szCs w:val="24"/>
      <w:lang w:val="en-US"/>
    </w:rPr>
  </w:style>
  <w:style w:type="character" w:customStyle="1" w:styleId="432">
    <w:name w:val="页脚 Char"/>
    <w:qFormat/>
    <w:uiPriority w:val="0"/>
    <w:rPr>
      <w:kern w:val="2"/>
      <w:sz w:val="18"/>
    </w:rPr>
  </w:style>
  <w:style w:type="character" w:customStyle="1" w:styleId="433">
    <w:name w:val="页眉 Char"/>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97BA4-2D85-4975-80E5-8ADD27233EC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2092</Words>
  <Characters>11926</Characters>
  <Lines>99</Lines>
  <Paragraphs>27</Paragraphs>
  <TotalTime>13</TotalTime>
  <ScaleCrop>false</ScaleCrop>
  <LinksUpToDate>false</LinksUpToDate>
  <CharactersWithSpaces>13991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2023-10-17T10:43:00Z</dcterms:created>
  <dc:creator>Microsoft Office 用户</dc:creator>
  <cp:lastModifiedBy>Lu_t@Over_alL.Z</cp:lastModifiedBy>
  <dcterms:modified xsi:type="dcterms:W3CDTF">2023-10-31T08:57:43Z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5BB92C3E0A3944EB9CE507D01799EA4A_13</vt:lpwstr>
  </property>
</Properties>
</file>