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pPr>
      <w:r>
        <w:rPr>
          <w:rFonts w:hint="eastAsia" w:ascii="宋体" w:hAnsi="宋体" w:cs="宋体"/>
          <w:color w:val="333333"/>
          <w:kern w:val="0"/>
          <w:szCs w:val="21"/>
        </w:rPr>
        <w:t>附件：</w:t>
      </w:r>
    </w:p>
    <w:p>
      <w:pPr>
        <w:pStyle w:val="12"/>
        <w:numPr>
          <w:ilvl w:val="0"/>
          <w:numId w:val="2"/>
        </w:numPr>
        <w:ind w:left="0" w:leftChars="0" w:firstLine="0"/>
        <w:jc w:val="center"/>
        <w:rPr>
          <w:rFonts w:ascii="宋体" w:hAnsi="宋体" w:eastAsia="宋体" w:cs="宋体"/>
          <w:b/>
          <w:kern w:val="0"/>
          <w:sz w:val="28"/>
          <w:szCs w:val="28"/>
        </w:rPr>
      </w:pPr>
      <w:r>
        <w:rPr>
          <w:rFonts w:hint="eastAsia" w:ascii="宋体" w:hAnsi="宋体" w:eastAsia="宋体" w:cs="宋体"/>
          <w:b/>
          <w:kern w:val="0"/>
          <w:sz w:val="28"/>
          <w:szCs w:val="28"/>
        </w:rPr>
        <w:t>招标邀请</w:t>
      </w:r>
    </w:p>
    <w:p>
      <w:pPr>
        <w:ind w:firstLine="420"/>
      </w:pPr>
    </w:p>
    <w:p>
      <w:pPr>
        <w:pStyle w:val="20"/>
        <w:ind w:firstLine="602"/>
      </w:pP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根据政府采购相关规定，南京市江宁医院就网批系统(移动端)项目进行院内采购，兹邀请符合资格条件的生产企业、经销企业以及潜在供应商参加。</w:t>
      </w:r>
    </w:p>
    <w:p>
      <w:pPr>
        <w:jc w:val="left"/>
        <w:rPr>
          <w:rFonts w:ascii="宋体" w:hAnsi="宋体" w:eastAsia="宋体"/>
          <w:sz w:val="24"/>
          <w:szCs w:val="24"/>
        </w:rPr>
      </w:pPr>
    </w:p>
    <w:p>
      <w:pPr>
        <w:tabs>
          <w:tab w:val="left" w:pos="7005"/>
        </w:tabs>
        <w:autoSpaceDE w:val="0"/>
        <w:autoSpaceDN w:val="0"/>
        <w:jc w:val="left"/>
        <w:rPr>
          <w:rFonts w:hint="default" w:ascii="宋体" w:hAnsi="宋体" w:eastAsia="宋体"/>
          <w:b/>
          <w:bCs/>
          <w:sz w:val="24"/>
          <w:szCs w:val="24"/>
          <w:u w:val="single"/>
          <w:lang w:val="en-US" w:eastAsia="zh-CN"/>
        </w:rPr>
      </w:pPr>
      <w:r>
        <w:rPr>
          <w:rFonts w:hint="eastAsia" w:ascii="宋体" w:hAnsi="宋体" w:eastAsia="宋体"/>
          <w:b/>
          <w:bCs/>
          <w:sz w:val="24"/>
          <w:szCs w:val="24"/>
        </w:rPr>
        <w:t>1、项目编号：</w:t>
      </w:r>
      <w:r>
        <w:rPr>
          <w:rFonts w:hint="eastAsia" w:ascii="宋体" w:hAnsi="宋体"/>
          <w:b/>
          <w:bCs/>
          <w:sz w:val="24"/>
          <w:szCs w:val="24"/>
          <w:lang w:val="en-US" w:eastAsia="zh-CN"/>
        </w:rPr>
        <w:t>JNYY-20230519001</w:t>
      </w:r>
    </w:p>
    <w:p>
      <w:pPr>
        <w:widowControl/>
        <w:tabs>
          <w:tab w:val="left" w:pos="7005"/>
        </w:tabs>
        <w:jc w:val="left"/>
        <w:rPr>
          <w:rFonts w:ascii="宋体" w:hAnsi="宋体" w:eastAsia="宋体"/>
          <w:sz w:val="24"/>
          <w:szCs w:val="24"/>
        </w:rPr>
      </w:pPr>
      <w:r>
        <w:rPr>
          <w:rFonts w:hint="eastAsia" w:ascii="宋体" w:hAnsi="宋体" w:eastAsia="宋体"/>
          <w:b/>
          <w:bCs/>
          <w:sz w:val="24"/>
          <w:szCs w:val="24"/>
        </w:rPr>
        <w:t>2、项目内容：南京市江宁医院网批系统(移动端)项目</w:t>
      </w:r>
    </w:p>
    <w:p>
      <w:pPr>
        <w:jc w:val="left"/>
        <w:rPr>
          <w:rFonts w:ascii="宋体" w:hAnsi="宋体" w:eastAsia="宋体"/>
          <w:b/>
          <w:sz w:val="24"/>
          <w:szCs w:val="24"/>
        </w:rPr>
      </w:pPr>
      <w:r>
        <w:rPr>
          <w:rFonts w:hint="eastAsia" w:ascii="宋体" w:hAnsi="宋体" w:eastAsia="宋体"/>
          <w:b/>
          <w:sz w:val="24"/>
          <w:szCs w:val="24"/>
          <w:lang w:val="en-US"/>
        </w:rPr>
        <w:t>3、</w:t>
      </w:r>
      <w:r>
        <w:rPr>
          <w:rFonts w:hint="eastAsia" w:ascii="宋体" w:hAnsi="宋体" w:eastAsia="宋体"/>
          <w:b/>
          <w:sz w:val="24"/>
          <w:szCs w:val="24"/>
        </w:rPr>
        <w:t>项目预算：</w:t>
      </w:r>
      <w:r>
        <w:rPr>
          <w:rFonts w:hint="eastAsia" w:ascii="宋体" w:hAnsi="宋体" w:eastAsia="宋体"/>
          <w:b/>
          <w:sz w:val="24"/>
          <w:szCs w:val="24"/>
          <w:u w:val="single"/>
          <w:lang w:val="en-US"/>
        </w:rPr>
        <w:t xml:space="preserve"> </w:t>
      </w:r>
      <w:r>
        <w:rPr>
          <w:rFonts w:hint="eastAsia" w:ascii="宋体" w:hAnsi="宋体"/>
          <w:b/>
          <w:sz w:val="24"/>
          <w:szCs w:val="24"/>
          <w:u w:val="single"/>
          <w:lang w:val="en-US" w:eastAsia="zh-CN"/>
        </w:rPr>
        <w:t>28.5</w:t>
      </w:r>
      <w:r>
        <w:rPr>
          <w:rFonts w:hint="eastAsia" w:ascii="宋体" w:hAnsi="宋体" w:eastAsia="宋体"/>
          <w:bCs/>
          <w:sz w:val="24"/>
          <w:szCs w:val="24"/>
          <w:lang w:val="en-US"/>
        </w:rPr>
        <w:t>万元，</w:t>
      </w:r>
      <w:r>
        <w:rPr>
          <w:rFonts w:ascii="宋体" w:hAnsi="宋体" w:eastAsia="宋体"/>
          <w:sz w:val="24"/>
        </w:rPr>
        <w:t>报价超过项目预算的为无效响应文件</w:t>
      </w:r>
      <w:r>
        <w:rPr>
          <w:rFonts w:hint="eastAsia" w:ascii="宋体" w:hAnsi="宋体" w:eastAsia="宋体"/>
          <w:bCs/>
          <w:color w:val="000000"/>
          <w:sz w:val="24"/>
          <w:szCs w:val="24"/>
        </w:rPr>
        <w:t>。</w:t>
      </w:r>
    </w:p>
    <w:p>
      <w:pPr>
        <w:autoSpaceDE w:val="0"/>
        <w:autoSpaceDN w:val="0"/>
        <w:jc w:val="left"/>
        <w:rPr>
          <w:rFonts w:ascii="宋体" w:hAnsi="宋体" w:eastAsia="宋体"/>
          <w:b/>
          <w:bCs/>
          <w:sz w:val="24"/>
          <w:szCs w:val="24"/>
        </w:rPr>
      </w:pPr>
      <w:r>
        <w:rPr>
          <w:rFonts w:hint="eastAsia" w:ascii="宋体" w:hAnsi="宋体" w:eastAsia="宋体"/>
          <w:b/>
          <w:bCs/>
          <w:sz w:val="24"/>
          <w:szCs w:val="24"/>
          <w:lang w:val="en-US"/>
        </w:rPr>
        <w:t>4</w:t>
      </w:r>
      <w:r>
        <w:rPr>
          <w:rFonts w:hint="eastAsia" w:ascii="宋体" w:hAnsi="宋体" w:eastAsia="宋体"/>
          <w:b/>
          <w:bCs/>
          <w:sz w:val="24"/>
          <w:szCs w:val="24"/>
        </w:rPr>
        <w:t>、</w:t>
      </w:r>
      <w:r>
        <w:rPr>
          <w:rFonts w:hint="eastAsia" w:ascii="宋体" w:hAnsi="宋体" w:eastAsia="宋体"/>
          <w:b/>
          <w:bCs/>
          <w:color w:val="000000"/>
          <w:sz w:val="24"/>
          <w:szCs w:val="24"/>
        </w:rPr>
        <w:t>供应商应具备下列资格条件,并提供证明材料(包括但不限于):</w:t>
      </w:r>
    </w:p>
    <w:p>
      <w:pPr>
        <w:autoSpaceDE w:val="0"/>
        <w:autoSpaceDN w:val="0"/>
        <w:jc w:val="left"/>
        <w:rPr>
          <w:rFonts w:ascii="宋体" w:hAnsi="宋体" w:eastAsia="宋体"/>
          <w:b/>
          <w:bCs/>
          <w:sz w:val="24"/>
          <w:szCs w:val="24"/>
        </w:rPr>
      </w:pPr>
      <w:r>
        <w:rPr>
          <w:rFonts w:hint="eastAsia" w:ascii="宋体" w:hAnsi="宋体" w:eastAsia="宋体"/>
          <w:b/>
          <w:bCs/>
          <w:sz w:val="24"/>
          <w:szCs w:val="24"/>
          <w:lang w:val="en-US"/>
        </w:rPr>
        <w:t>4</w:t>
      </w:r>
      <w:r>
        <w:rPr>
          <w:rFonts w:hint="eastAsia" w:ascii="宋体" w:hAnsi="宋体" w:eastAsia="宋体"/>
          <w:b/>
          <w:bCs/>
          <w:sz w:val="24"/>
          <w:szCs w:val="24"/>
        </w:rPr>
        <w:t>.1供应商应具备的基本条件:</w:t>
      </w:r>
    </w:p>
    <w:p>
      <w:pPr>
        <w:jc w:val="left"/>
        <w:rPr>
          <w:rFonts w:ascii="宋体" w:hAnsi="宋体" w:eastAsia="宋体"/>
          <w:color w:val="000000"/>
          <w:sz w:val="24"/>
          <w:szCs w:val="24"/>
        </w:rPr>
      </w:pPr>
      <w:r>
        <w:rPr>
          <w:rFonts w:ascii="宋体" w:hAnsi="宋体" w:eastAsia="宋体"/>
          <w:color w:val="000000"/>
          <w:sz w:val="24"/>
          <w:szCs w:val="24"/>
        </w:rPr>
        <w:t>4.1.1</w:t>
      </w:r>
      <w:r>
        <w:rPr>
          <w:rFonts w:hint="eastAsia" w:ascii="宋体" w:hAnsi="宋体" w:eastAsia="宋体"/>
          <w:color w:val="000000"/>
          <w:sz w:val="24"/>
          <w:szCs w:val="24"/>
        </w:rPr>
        <w:t>具有独立承担民事责任的能力（提供法人或者其他组织的营业执照；供应商为自然人的，提供其身份证）；</w:t>
      </w:r>
    </w:p>
    <w:p>
      <w:pPr>
        <w:jc w:val="left"/>
        <w:rPr>
          <w:rFonts w:ascii="宋体" w:hAnsi="宋体" w:eastAsia="宋体"/>
          <w:color w:val="000000"/>
          <w:sz w:val="24"/>
          <w:szCs w:val="24"/>
        </w:rPr>
      </w:pPr>
      <w:r>
        <w:rPr>
          <w:rFonts w:ascii="宋体" w:hAnsi="宋体" w:eastAsia="宋体"/>
          <w:color w:val="000000"/>
          <w:sz w:val="24"/>
          <w:szCs w:val="24"/>
        </w:rPr>
        <w:t xml:space="preserve">4.1.2 </w:t>
      </w:r>
      <w:r>
        <w:rPr>
          <w:rFonts w:hint="eastAsia" w:ascii="宋体" w:hAnsi="宋体" w:eastAsia="宋体"/>
          <w:color w:val="000000"/>
          <w:sz w:val="24"/>
          <w:szCs w:val="24"/>
        </w:rPr>
        <w:t>具有良好的商业信誉和健全的财务会计制度（提供经审计的财务报告，或银行出具的资信证明，或财政部门认可的政府采购专业担保机构出具的投标担保函，或其他会计报表等（</w:t>
      </w:r>
      <w:r>
        <w:rPr>
          <w:rFonts w:hint="eastAsia" w:ascii="宋体" w:hAnsi="宋体" w:eastAsia="宋体"/>
          <w:color w:val="000000"/>
          <w:sz w:val="24"/>
          <w:szCs w:val="24"/>
          <w:lang w:val="en-US"/>
        </w:rPr>
        <w:t>其他会计报表至少包括资产负债表、利润表、现金流量表，但属于《中小企业划型标准规定》的小企业（含小型、微型）编制的会计报表可以不包括现金流量表</w:t>
      </w:r>
      <w:r>
        <w:rPr>
          <w:rFonts w:hint="eastAsia" w:ascii="宋体" w:hAnsi="宋体" w:eastAsia="宋体"/>
          <w:color w:val="000000"/>
          <w:sz w:val="24"/>
          <w:szCs w:val="24"/>
        </w:rPr>
        <w:t>））；</w:t>
      </w:r>
    </w:p>
    <w:p>
      <w:pPr>
        <w:jc w:val="left"/>
        <w:rPr>
          <w:rFonts w:ascii="宋体" w:hAnsi="宋体" w:eastAsia="宋体"/>
          <w:color w:val="000000"/>
          <w:sz w:val="24"/>
          <w:szCs w:val="24"/>
        </w:rPr>
      </w:pPr>
      <w:r>
        <w:rPr>
          <w:rFonts w:ascii="宋体" w:hAnsi="宋体" w:eastAsia="宋体"/>
          <w:color w:val="000000"/>
          <w:sz w:val="24"/>
          <w:szCs w:val="24"/>
        </w:rPr>
        <w:t xml:space="preserve">4.1.3 </w:t>
      </w:r>
      <w:r>
        <w:rPr>
          <w:rFonts w:hint="eastAsia" w:ascii="宋体" w:hAnsi="宋体" w:eastAsia="宋体"/>
          <w:color w:val="000000"/>
          <w:sz w:val="24"/>
          <w:szCs w:val="24"/>
        </w:rPr>
        <w:t>具有履行合同所必需的设备和专业技术能力（供应商根据履行采购项目合同需要，提供履行合同所必需的设备和专业技术能力的证明材料等）；</w:t>
      </w:r>
    </w:p>
    <w:p>
      <w:pPr>
        <w:jc w:val="left"/>
        <w:rPr>
          <w:rFonts w:ascii="宋体" w:hAnsi="宋体" w:eastAsia="宋体"/>
          <w:color w:val="000000"/>
          <w:sz w:val="24"/>
          <w:szCs w:val="24"/>
        </w:rPr>
      </w:pPr>
      <w:r>
        <w:rPr>
          <w:rFonts w:ascii="宋体" w:hAnsi="宋体" w:eastAsia="宋体"/>
          <w:color w:val="000000"/>
          <w:sz w:val="24"/>
          <w:szCs w:val="24"/>
        </w:rPr>
        <w:t xml:space="preserve">4.1.4 </w:t>
      </w:r>
      <w:r>
        <w:rPr>
          <w:rFonts w:hint="eastAsia" w:ascii="宋体" w:hAnsi="宋体" w:eastAsia="宋体"/>
          <w:color w:val="000000"/>
          <w:sz w:val="24"/>
          <w:szCs w:val="24"/>
        </w:rPr>
        <w:t>有依法缴纳税收和社会保障资金的良好记录（提供参加本次采购活动前一年内至少一个月缴纳增值税，或营业税，或企业所得税的凭据，以及缴纳社会保险的凭据（专用收据，或社会保险缴纳清单）等）；</w:t>
      </w:r>
    </w:p>
    <w:p>
      <w:pPr>
        <w:jc w:val="left"/>
        <w:rPr>
          <w:rFonts w:ascii="宋体" w:hAnsi="宋体" w:eastAsia="宋体"/>
          <w:color w:val="000000"/>
          <w:sz w:val="24"/>
          <w:szCs w:val="24"/>
        </w:rPr>
      </w:pPr>
      <w:r>
        <w:rPr>
          <w:rFonts w:ascii="宋体" w:hAnsi="宋体" w:eastAsia="宋体"/>
          <w:color w:val="000000"/>
          <w:sz w:val="24"/>
          <w:szCs w:val="24"/>
        </w:rPr>
        <w:t>4.1.5</w:t>
      </w:r>
      <w:r>
        <w:rPr>
          <w:rFonts w:hint="eastAsia" w:ascii="宋体" w:hAnsi="宋体" w:eastAsia="宋体"/>
          <w:color w:val="000000"/>
          <w:sz w:val="24"/>
          <w:szCs w:val="24"/>
        </w:rPr>
        <w:t>参加采购活动前三年内，在经营活动中没有重大违法记录；</w:t>
      </w:r>
    </w:p>
    <w:p>
      <w:pPr>
        <w:jc w:val="left"/>
        <w:rPr>
          <w:rFonts w:ascii="宋体" w:hAnsi="宋体" w:eastAsia="宋体"/>
          <w:b/>
          <w:bCs/>
          <w:sz w:val="24"/>
          <w:szCs w:val="24"/>
        </w:rPr>
      </w:pPr>
      <w:r>
        <w:rPr>
          <w:rFonts w:ascii="宋体" w:hAnsi="宋体" w:eastAsia="宋体"/>
          <w:color w:val="000000"/>
          <w:sz w:val="24"/>
          <w:szCs w:val="24"/>
        </w:rPr>
        <w:t xml:space="preserve">4.1.6 </w:t>
      </w:r>
      <w:r>
        <w:rPr>
          <w:rFonts w:hint="eastAsia" w:ascii="宋体" w:hAnsi="宋体" w:eastAsia="宋体"/>
          <w:color w:val="000000"/>
          <w:sz w:val="24"/>
          <w:szCs w:val="24"/>
        </w:rPr>
        <w:t>法律、行政法规规定的其他条件（提供项目实施所必须的许可资质证明材料</w:t>
      </w:r>
      <w:r>
        <w:rPr>
          <w:rFonts w:ascii="宋体" w:hAnsi="宋体" w:eastAsia="宋体"/>
          <w:color w:val="000000"/>
          <w:sz w:val="24"/>
          <w:szCs w:val="24"/>
        </w:rPr>
        <w:t xml:space="preserve"> </w:t>
      </w:r>
      <w:r>
        <w:rPr>
          <w:rFonts w:hint="eastAsia" w:ascii="宋体" w:hAnsi="宋体" w:eastAsia="宋体"/>
          <w:color w:val="000000"/>
          <w:sz w:val="24"/>
          <w:szCs w:val="24"/>
        </w:rPr>
        <w:t>）</w:t>
      </w:r>
      <w:r>
        <w:rPr>
          <w:rFonts w:ascii="宋体" w:hAnsi="宋体" w:eastAsia="宋体"/>
          <w:color w:val="000000"/>
          <w:sz w:val="24"/>
          <w:szCs w:val="24"/>
        </w:rPr>
        <w:t>:</w:t>
      </w:r>
      <w:r>
        <w:rPr>
          <w:rFonts w:hint="eastAsia" w:ascii="宋体" w:hAnsi="宋体" w:eastAsia="宋体"/>
          <w:color w:val="000000"/>
          <w:sz w:val="24"/>
          <w:szCs w:val="24"/>
        </w:rPr>
        <w:t>无</w:t>
      </w:r>
    </w:p>
    <w:p>
      <w:pPr>
        <w:tabs>
          <w:tab w:val="left" w:pos="321"/>
        </w:tabs>
        <w:jc w:val="left"/>
        <w:rPr>
          <w:rFonts w:ascii="宋体" w:hAnsi="宋体" w:eastAsia="宋体"/>
          <w:b/>
          <w:sz w:val="24"/>
          <w:szCs w:val="24"/>
          <w:lang w:val="en-US"/>
        </w:rPr>
      </w:pPr>
      <w:r>
        <w:rPr>
          <w:rFonts w:hint="eastAsia" w:ascii="宋体" w:hAnsi="宋体" w:eastAsia="宋体"/>
          <w:b/>
          <w:sz w:val="24"/>
          <w:szCs w:val="24"/>
          <w:lang w:val="en-US"/>
        </w:rPr>
        <w:t>4.2采购人根据采购项目的特殊要求规定的特定条件：无</w:t>
      </w:r>
    </w:p>
    <w:p>
      <w:pPr>
        <w:tabs>
          <w:tab w:val="left" w:pos="321"/>
        </w:tabs>
        <w:jc w:val="left"/>
        <w:rPr>
          <w:rFonts w:ascii="宋体" w:hAnsi="宋体" w:eastAsia="宋体"/>
          <w:b/>
          <w:sz w:val="24"/>
          <w:szCs w:val="24"/>
        </w:rPr>
      </w:pPr>
      <w:r>
        <w:rPr>
          <w:rFonts w:hint="eastAsia" w:ascii="宋体" w:hAnsi="宋体" w:eastAsia="宋体"/>
          <w:b/>
          <w:sz w:val="24"/>
          <w:szCs w:val="24"/>
          <w:lang w:val="en-US"/>
        </w:rPr>
        <w:t>4</w:t>
      </w:r>
      <w:r>
        <w:rPr>
          <w:rFonts w:hint="eastAsia" w:ascii="宋体" w:hAnsi="宋体" w:eastAsia="宋体"/>
          <w:b/>
          <w:sz w:val="24"/>
          <w:szCs w:val="24"/>
        </w:rPr>
        <w:t>.3拒绝下述供应商参加本次采购活动：</w:t>
      </w:r>
    </w:p>
    <w:p>
      <w:pPr>
        <w:jc w:val="left"/>
        <w:rPr>
          <w:rFonts w:ascii="宋体" w:hAnsi="宋体" w:eastAsia="宋体"/>
          <w:bCs/>
          <w:color w:val="000000"/>
          <w:sz w:val="24"/>
          <w:szCs w:val="24"/>
        </w:rPr>
      </w:pPr>
      <w:r>
        <w:rPr>
          <w:rFonts w:ascii="宋体" w:hAnsi="宋体" w:eastAsia="宋体"/>
          <w:bCs/>
          <w:color w:val="000000"/>
          <w:sz w:val="24"/>
          <w:szCs w:val="24"/>
        </w:rPr>
        <w:t>4.3.1</w:t>
      </w:r>
      <w:r>
        <w:rPr>
          <w:rFonts w:hint="eastAsia" w:ascii="宋体" w:hAnsi="宋体" w:eastAsia="宋体"/>
          <w:bCs/>
          <w:color w:val="000000"/>
          <w:sz w:val="24"/>
          <w:szCs w:val="24"/>
        </w:rPr>
        <w:t>参加采购活动前三年内，在经营活动中有重大违法记录的；</w:t>
      </w:r>
    </w:p>
    <w:p>
      <w:pPr>
        <w:jc w:val="left"/>
        <w:rPr>
          <w:rFonts w:ascii="宋体" w:hAnsi="宋体" w:eastAsia="宋体"/>
          <w:bCs/>
          <w:color w:val="000000"/>
          <w:sz w:val="24"/>
          <w:szCs w:val="24"/>
        </w:rPr>
      </w:pPr>
      <w:r>
        <w:rPr>
          <w:rFonts w:ascii="宋体" w:hAnsi="宋体" w:eastAsia="宋体"/>
          <w:bCs/>
          <w:color w:val="000000"/>
          <w:sz w:val="24"/>
          <w:szCs w:val="24"/>
        </w:rPr>
        <w:t>4.3.2</w:t>
      </w:r>
      <w:r>
        <w:rPr>
          <w:rFonts w:hint="eastAsia" w:ascii="宋体" w:hAnsi="宋体" w:eastAsia="宋体"/>
          <w:bCs/>
          <w:color w:val="000000"/>
          <w:sz w:val="24"/>
          <w:szCs w:val="24"/>
        </w:rPr>
        <w:t>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号第十一条、十二条所列严重失信行为情形的供应商参加本项目的采购活动；</w:t>
      </w:r>
      <w:r>
        <w:rPr>
          <w:rFonts w:ascii="宋体" w:hAnsi="宋体" w:eastAsia="宋体"/>
          <w:bCs/>
          <w:color w:val="000000"/>
          <w:sz w:val="24"/>
          <w:szCs w:val="24"/>
        </w:rPr>
        <w:t xml:space="preserve"> </w:t>
      </w:r>
    </w:p>
    <w:p>
      <w:pPr>
        <w:jc w:val="left"/>
        <w:rPr>
          <w:rFonts w:ascii="宋体" w:hAnsi="宋体" w:eastAsia="宋体"/>
          <w:bCs/>
          <w:color w:val="000000"/>
          <w:sz w:val="24"/>
          <w:szCs w:val="24"/>
        </w:rPr>
      </w:pPr>
      <w:r>
        <w:rPr>
          <w:rFonts w:ascii="宋体" w:hAnsi="宋体" w:eastAsia="宋体"/>
          <w:bCs/>
          <w:color w:val="000000"/>
          <w:sz w:val="24"/>
          <w:szCs w:val="24"/>
        </w:rPr>
        <w:t xml:space="preserve">4.3.3 </w:t>
      </w:r>
      <w:r>
        <w:rPr>
          <w:rFonts w:hint="eastAsia" w:ascii="宋体" w:hAnsi="宋体" w:eastAsia="宋体"/>
          <w:bCs/>
          <w:color w:val="000000"/>
          <w:sz w:val="24"/>
          <w:szCs w:val="24"/>
        </w:rPr>
        <w:t>在全国范围内受过财政部门禁止参加采购活动的处罚期限未满的；</w:t>
      </w:r>
      <w:r>
        <w:rPr>
          <w:rFonts w:ascii="宋体" w:hAnsi="宋体" w:eastAsia="宋体"/>
          <w:bCs/>
          <w:color w:val="000000"/>
          <w:sz w:val="24"/>
          <w:szCs w:val="24"/>
        </w:rPr>
        <w:t xml:space="preserve"> </w:t>
      </w:r>
    </w:p>
    <w:p>
      <w:pPr>
        <w:jc w:val="left"/>
        <w:rPr>
          <w:rFonts w:ascii="宋体" w:hAnsi="宋体" w:eastAsia="宋体"/>
          <w:bCs/>
          <w:color w:val="000000"/>
          <w:sz w:val="24"/>
          <w:szCs w:val="24"/>
        </w:rPr>
      </w:pPr>
      <w:r>
        <w:rPr>
          <w:rFonts w:ascii="宋体" w:hAnsi="宋体" w:eastAsia="宋体"/>
          <w:bCs/>
          <w:color w:val="000000"/>
          <w:sz w:val="24"/>
          <w:szCs w:val="24"/>
        </w:rPr>
        <w:t xml:space="preserve">4.3.4 </w:t>
      </w:r>
      <w:r>
        <w:rPr>
          <w:rFonts w:hint="eastAsia" w:ascii="宋体" w:hAnsi="宋体" w:eastAsia="宋体"/>
          <w:bCs/>
          <w:color w:val="000000"/>
          <w:sz w:val="24"/>
          <w:szCs w:val="24"/>
        </w:rPr>
        <w:t>为本采购项目提供整体设计、规范编制，以及项目管理、监理、检测等服务；</w:t>
      </w:r>
      <w:r>
        <w:rPr>
          <w:rFonts w:ascii="宋体" w:hAnsi="宋体" w:eastAsia="宋体"/>
          <w:bCs/>
          <w:color w:val="000000"/>
          <w:sz w:val="24"/>
          <w:szCs w:val="24"/>
        </w:rPr>
        <w:t xml:space="preserve"> </w:t>
      </w:r>
    </w:p>
    <w:p>
      <w:pPr>
        <w:jc w:val="left"/>
        <w:rPr>
          <w:rFonts w:ascii="宋体" w:hAnsi="宋体" w:eastAsia="宋体"/>
          <w:bCs/>
          <w:color w:val="000000"/>
          <w:sz w:val="24"/>
          <w:szCs w:val="24"/>
        </w:rPr>
      </w:pPr>
      <w:r>
        <w:rPr>
          <w:rFonts w:ascii="宋体" w:hAnsi="宋体" w:eastAsia="宋体"/>
          <w:bCs/>
          <w:color w:val="000000"/>
          <w:sz w:val="24"/>
          <w:szCs w:val="24"/>
        </w:rPr>
        <w:t xml:space="preserve">4.3.5 </w:t>
      </w:r>
      <w:r>
        <w:rPr>
          <w:rFonts w:hint="eastAsia" w:ascii="宋体" w:hAnsi="宋体" w:eastAsia="宋体"/>
          <w:bCs/>
          <w:color w:val="000000"/>
          <w:sz w:val="24"/>
          <w:szCs w:val="24"/>
        </w:rPr>
        <w:t>参加本次采购活动不同供应商的授权代理人</w:t>
      </w:r>
      <w:r>
        <w:rPr>
          <w:rFonts w:ascii="宋体" w:hAnsi="宋体" w:eastAsia="宋体"/>
          <w:bCs/>
          <w:color w:val="000000"/>
          <w:sz w:val="24"/>
          <w:szCs w:val="24"/>
        </w:rPr>
        <w:t>(</w:t>
      </w:r>
      <w:r>
        <w:rPr>
          <w:rFonts w:hint="eastAsia" w:ascii="宋体" w:hAnsi="宋体" w:eastAsia="宋体"/>
          <w:bCs/>
          <w:color w:val="000000"/>
          <w:sz w:val="24"/>
          <w:szCs w:val="24"/>
        </w:rPr>
        <w:t>或法定代表人、项目经理、项目总监、项目负责人等</w:t>
      </w:r>
      <w:r>
        <w:rPr>
          <w:rFonts w:ascii="宋体" w:hAnsi="宋体" w:eastAsia="宋体"/>
          <w:bCs/>
          <w:color w:val="000000"/>
          <w:sz w:val="24"/>
          <w:szCs w:val="24"/>
        </w:rPr>
        <w:t>)</w:t>
      </w:r>
      <w:r>
        <w:rPr>
          <w:rFonts w:hint="eastAsia" w:ascii="宋体" w:hAnsi="宋体" w:eastAsia="宋体"/>
          <w:bCs/>
          <w:color w:val="000000"/>
          <w:sz w:val="24"/>
          <w:szCs w:val="24"/>
        </w:rPr>
        <w:t>在采购文件发布日上月至投标截止日当月在同一单位缴纳社会保险的；</w:t>
      </w:r>
      <w:r>
        <w:rPr>
          <w:rFonts w:ascii="宋体" w:hAnsi="宋体" w:eastAsia="宋体"/>
          <w:bCs/>
          <w:color w:val="000000"/>
          <w:sz w:val="24"/>
          <w:szCs w:val="24"/>
        </w:rPr>
        <w:t xml:space="preserve"> </w:t>
      </w:r>
    </w:p>
    <w:p>
      <w:pPr>
        <w:jc w:val="left"/>
        <w:rPr>
          <w:rFonts w:ascii="宋体" w:hAnsi="宋体" w:eastAsia="宋体"/>
          <w:bCs/>
          <w:color w:val="000000"/>
          <w:sz w:val="24"/>
          <w:szCs w:val="24"/>
        </w:rPr>
      </w:pPr>
      <w:r>
        <w:rPr>
          <w:rFonts w:ascii="宋体" w:hAnsi="宋体" w:eastAsia="宋体"/>
          <w:bCs/>
          <w:color w:val="000000"/>
          <w:sz w:val="24"/>
          <w:szCs w:val="24"/>
        </w:rPr>
        <w:t xml:space="preserve">4.3.6 </w:t>
      </w:r>
      <w:r>
        <w:rPr>
          <w:rFonts w:hint="eastAsia" w:ascii="宋体" w:hAnsi="宋体" w:eastAsia="宋体"/>
          <w:bCs/>
          <w:color w:val="000000"/>
          <w:sz w:val="24"/>
          <w:szCs w:val="24"/>
        </w:rPr>
        <w:t>参加本次采购活动不同供应商的法定代表人或委托代理人有夫妻、直系血亲关系的；</w:t>
      </w:r>
      <w:r>
        <w:rPr>
          <w:rFonts w:ascii="宋体" w:hAnsi="宋体" w:eastAsia="宋体"/>
          <w:bCs/>
          <w:color w:val="000000"/>
          <w:sz w:val="24"/>
          <w:szCs w:val="24"/>
        </w:rPr>
        <w:t xml:space="preserve"> </w:t>
      </w:r>
    </w:p>
    <w:p>
      <w:pPr>
        <w:jc w:val="left"/>
        <w:rPr>
          <w:rFonts w:ascii="宋体" w:hAnsi="宋体" w:eastAsia="宋体"/>
          <w:sz w:val="24"/>
          <w:szCs w:val="24"/>
        </w:rPr>
      </w:pPr>
      <w:r>
        <w:rPr>
          <w:rFonts w:ascii="宋体" w:hAnsi="宋体" w:eastAsia="宋体"/>
          <w:bCs/>
          <w:color w:val="000000"/>
          <w:sz w:val="24"/>
          <w:szCs w:val="24"/>
        </w:rPr>
        <w:t xml:space="preserve">4.3.7 </w:t>
      </w:r>
      <w:r>
        <w:rPr>
          <w:rFonts w:hint="eastAsia" w:ascii="宋体" w:hAnsi="宋体" w:eastAsia="宋体"/>
          <w:bCs/>
          <w:color w:val="000000"/>
          <w:sz w:val="24"/>
          <w:szCs w:val="24"/>
        </w:rPr>
        <w:t>参加本次采购活动不同供应商的负责人为同一人，或不同供应商之间存在直接控股、管理关系的。</w:t>
      </w:r>
      <w:r>
        <w:rPr>
          <w:rFonts w:hint="eastAsia" w:ascii="宋体" w:hAnsi="宋体" w:eastAsia="宋体"/>
          <w:sz w:val="24"/>
          <w:szCs w:val="24"/>
        </w:rPr>
        <w:t xml:space="preserve">  </w:t>
      </w:r>
    </w:p>
    <w:p>
      <w:pPr>
        <w:jc w:val="left"/>
        <w:rPr>
          <w:rFonts w:ascii="宋体" w:hAnsi="宋体" w:eastAsia="宋体"/>
          <w:sz w:val="24"/>
          <w:szCs w:val="24"/>
        </w:rPr>
      </w:pPr>
      <w:r>
        <w:rPr>
          <w:rFonts w:hint="eastAsia" w:ascii="宋体" w:hAnsi="宋体" w:eastAsia="宋体"/>
          <w:b/>
          <w:bCs/>
          <w:sz w:val="24"/>
          <w:szCs w:val="24"/>
        </w:rPr>
        <w:t>5、集中现场考察或答疑：</w:t>
      </w:r>
      <w:r>
        <w:rPr>
          <w:rFonts w:hint="eastAsia" w:ascii="宋体" w:hAnsi="宋体" w:eastAsia="宋体"/>
          <w:bCs/>
          <w:sz w:val="24"/>
          <w:szCs w:val="24"/>
        </w:rPr>
        <w:t>采购人不组织，供应商可自行联系采购人。</w:t>
      </w:r>
      <w:r>
        <w:rPr>
          <w:rFonts w:hint="eastAsia" w:ascii="宋体" w:hAnsi="宋体" w:eastAsia="宋体"/>
          <w:sz w:val="24"/>
          <w:szCs w:val="24"/>
        </w:rPr>
        <w:t>未考察现场或考察工作不详细的供应商成交后，不得以不完全了解现场情况为理由而向采购人提出任何索赔或其他要求，对此采购人不承担任何责任并将不作任何答复。</w:t>
      </w:r>
    </w:p>
    <w:p>
      <w:pPr>
        <w:tabs>
          <w:tab w:val="left" w:pos="241"/>
        </w:tabs>
        <w:jc w:val="left"/>
        <w:rPr>
          <w:rFonts w:ascii="宋体" w:hAnsi="宋体" w:eastAsia="宋体"/>
          <w:b/>
          <w:bCs/>
          <w:sz w:val="24"/>
          <w:szCs w:val="24"/>
          <w:lang w:val="en-US"/>
        </w:rPr>
      </w:pPr>
      <w:r>
        <w:rPr>
          <w:rFonts w:hint="eastAsia" w:ascii="宋体" w:hAnsi="宋体" w:eastAsia="宋体"/>
          <w:b/>
          <w:bCs/>
          <w:sz w:val="24"/>
          <w:szCs w:val="24"/>
          <w:lang w:val="en-US"/>
        </w:rPr>
        <w:t>6、</w:t>
      </w:r>
      <w:r>
        <w:rPr>
          <w:rFonts w:ascii="宋体" w:hAnsi="宋体" w:eastAsia="宋体"/>
          <w:b/>
          <w:bCs/>
          <w:sz w:val="24"/>
          <w:szCs w:val="24"/>
          <w:lang w:val="en-US"/>
        </w:rPr>
        <w:t>是否接</w:t>
      </w:r>
      <w:r>
        <w:rPr>
          <w:rFonts w:hint="eastAsia" w:ascii="宋体" w:hAnsi="宋体" w:eastAsia="宋体"/>
          <w:b/>
          <w:bCs/>
          <w:sz w:val="24"/>
          <w:szCs w:val="24"/>
          <w:lang w:val="en-US"/>
        </w:rPr>
        <w:t>受</w:t>
      </w:r>
      <w:r>
        <w:rPr>
          <w:rFonts w:ascii="宋体" w:hAnsi="宋体" w:eastAsia="宋体"/>
          <w:b/>
          <w:bCs/>
          <w:sz w:val="24"/>
          <w:szCs w:val="24"/>
          <w:lang w:val="en-US"/>
        </w:rPr>
        <w:t>进口产品：</w:t>
      </w:r>
      <w:r>
        <w:rPr>
          <w:rFonts w:ascii="宋体" w:hAnsi="宋体" w:eastAsia="宋体"/>
          <w:bCs/>
          <w:sz w:val="24"/>
          <w:szCs w:val="24"/>
          <w:lang w:val="en-US"/>
        </w:rPr>
        <w:t>否。</w:t>
      </w:r>
    </w:p>
    <w:p>
      <w:pPr>
        <w:tabs>
          <w:tab w:val="left" w:pos="241"/>
        </w:tabs>
        <w:jc w:val="left"/>
        <w:rPr>
          <w:rFonts w:ascii="宋体" w:hAnsi="宋体" w:eastAsia="宋体"/>
          <w:sz w:val="24"/>
          <w:szCs w:val="24"/>
          <w:lang w:val="en-US"/>
        </w:rPr>
      </w:pPr>
      <w:r>
        <w:rPr>
          <w:rFonts w:ascii="宋体" w:hAnsi="宋体" w:eastAsia="宋体"/>
          <w:b/>
          <w:bCs/>
          <w:sz w:val="24"/>
          <w:szCs w:val="24"/>
          <w:lang w:val="en-US"/>
        </w:rPr>
        <w:t>7、</w:t>
      </w:r>
      <w:r>
        <w:rPr>
          <w:rFonts w:hint="eastAsia" w:ascii="宋体" w:hAnsi="宋体" w:eastAsia="宋体"/>
          <w:b/>
          <w:bCs/>
          <w:sz w:val="24"/>
          <w:szCs w:val="24"/>
          <w:lang w:val="en-US"/>
        </w:rPr>
        <w:t>是否接受联合体：</w:t>
      </w:r>
      <w:r>
        <w:rPr>
          <w:rFonts w:hint="eastAsia" w:ascii="宋体" w:hAnsi="宋体" w:eastAsia="宋体"/>
          <w:sz w:val="24"/>
          <w:szCs w:val="24"/>
          <w:lang w:val="en-US"/>
        </w:rPr>
        <w:t>否。</w:t>
      </w:r>
    </w:p>
    <w:p>
      <w:pPr>
        <w:widowControl/>
        <w:shd w:val="clear" w:color="auto" w:fill="FFFFFF"/>
        <w:jc w:val="left"/>
        <w:rPr>
          <w:rFonts w:ascii="宋体" w:hAnsi="宋体" w:eastAsia="宋体"/>
          <w:sz w:val="24"/>
          <w:szCs w:val="24"/>
          <w:lang w:val="en-US"/>
        </w:rPr>
      </w:pPr>
      <w:r>
        <w:rPr>
          <w:rFonts w:hint="eastAsia" w:ascii="宋体" w:hAnsi="宋体" w:eastAsia="宋体"/>
          <w:b/>
          <w:bCs/>
          <w:sz w:val="24"/>
          <w:szCs w:val="24"/>
          <w:lang w:val="en-US"/>
        </w:rPr>
        <w:t>8</w:t>
      </w:r>
      <w:r>
        <w:rPr>
          <w:rFonts w:hint="eastAsia" w:ascii="宋体" w:hAnsi="宋体" w:eastAsia="宋体"/>
          <w:b/>
          <w:bCs/>
          <w:sz w:val="24"/>
          <w:szCs w:val="24"/>
        </w:rPr>
        <w:t>、</w:t>
      </w:r>
      <w:r>
        <w:rPr>
          <w:rFonts w:hint="eastAsia" w:ascii="宋体" w:hAnsi="宋体" w:eastAsia="宋体"/>
          <w:b/>
          <w:bCs/>
          <w:sz w:val="24"/>
          <w:szCs w:val="24"/>
          <w:lang w:val="en-US"/>
        </w:rPr>
        <w:t>投标</w:t>
      </w:r>
      <w:r>
        <w:rPr>
          <w:rFonts w:hint="eastAsia" w:ascii="宋体" w:hAnsi="宋体" w:eastAsia="宋体"/>
          <w:b/>
          <w:bCs/>
          <w:sz w:val="24"/>
          <w:szCs w:val="24"/>
        </w:rPr>
        <w:t>保证金：</w:t>
      </w:r>
      <w:r>
        <w:rPr>
          <w:rFonts w:hint="eastAsia" w:ascii="宋体" w:hAnsi="宋体" w:eastAsia="宋体"/>
          <w:b/>
          <w:bCs/>
          <w:sz w:val="24"/>
          <w:szCs w:val="24"/>
          <w:lang w:val="en-US"/>
        </w:rPr>
        <w:t>本项目不设投标保证金</w:t>
      </w:r>
    </w:p>
    <w:p>
      <w:pPr>
        <w:autoSpaceDE w:val="0"/>
        <w:autoSpaceDN w:val="0"/>
        <w:jc w:val="left"/>
        <w:rPr>
          <w:rFonts w:hint="eastAsia" w:ascii="宋体" w:hAnsi="宋体" w:eastAsia="宋体"/>
          <w:sz w:val="24"/>
          <w:szCs w:val="24"/>
          <w:lang w:eastAsia="zh-CN"/>
        </w:rPr>
      </w:pPr>
      <w:r>
        <w:rPr>
          <w:rFonts w:hint="eastAsia" w:ascii="宋体" w:hAnsi="宋体"/>
          <w:b/>
          <w:bCs/>
          <w:sz w:val="24"/>
          <w:szCs w:val="24"/>
          <w:lang w:val="en-US" w:eastAsia="zh-CN"/>
        </w:rPr>
        <w:t>9</w:t>
      </w:r>
      <w:r>
        <w:rPr>
          <w:rFonts w:hint="eastAsia" w:ascii="宋体" w:hAnsi="宋体" w:eastAsia="宋体"/>
          <w:b/>
          <w:bCs/>
          <w:sz w:val="24"/>
          <w:szCs w:val="24"/>
        </w:rPr>
        <w:t>、采购人联系方式</w:t>
      </w:r>
      <w:r>
        <w:rPr>
          <w:rFonts w:hint="eastAsia" w:ascii="宋体" w:hAnsi="宋体" w:eastAsia="宋体"/>
          <w:b/>
          <w:bCs/>
          <w:sz w:val="24"/>
          <w:szCs w:val="24"/>
        </w:rPr>
        <w:cr/>
      </w:r>
      <w:r>
        <w:rPr>
          <w:rFonts w:hint="eastAsia" w:ascii="宋体" w:hAnsi="宋体" w:eastAsia="宋体"/>
          <w:sz w:val="24"/>
          <w:szCs w:val="24"/>
        </w:rPr>
        <w:t>联系人：熊</w:t>
      </w:r>
      <w:r>
        <w:rPr>
          <w:rFonts w:hint="eastAsia" w:ascii="宋体" w:hAnsi="宋体"/>
          <w:sz w:val="24"/>
          <w:szCs w:val="24"/>
          <w:lang w:eastAsia="zh-CN"/>
        </w:rPr>
        <w:t>老师</w:t>
      </w:r>
      <w:bookmarkStart w:id="3" w:name="_GoBack"/>
      <w:bookmarkEnd w:id="3"/>
    </w:p>
    <w:p>
      <w:pPr>
        <w:autoSpaceDE w:val="0"/>
        <w:autoSpaceDN w:val="0"/>
        <w:jc w:val="left"/>
        <w:rPr>
          <w:rFonts w:ascii="宋体" w:hAnsi="宋体" w:eastAsia="宋体"/>
          <w:sz w:val="24"/>
          <w:szCs w:val="24"/>
        </w:rPr>
      </w:pPr>
      <w:r>
        <w:rPr>
          <w:rFonts w:hint="eastAsia" w:ascii="宋体" w:hAnsi="宋体" w:eastAsia="宋体"/>
          <w:sz w:val="24"/>
          <w:szCs w:val="24"/>
        </w:rPr>
        <w:t>联系电话：</w:t>
      </w:r>
      <w:r>
        <w:rPr>
          <w:rFonts w:ascii="宋体" w:hAnsi="宋体" w:eastAsia="宋体"/>
          <w:sz w:val="24"/>
          <w:szCs w:val="24"/>
        </w:rPr>
        <w:t>13645153881</w:t>
      </w:r>
    </w:p>
    <w:p>
      <w:pPr>
        <w:spacing w:line="420" w:lineRule="exact"/>
        <w:rPr>
          <w:rFonts w:hint="eastAsia" w:ascii="宋体" w:hAnsi="宋体" w:eastAsia="宋体"/>
          <w:sz w:val="24"/>
          <w:szCs w:val="24"/>
          <w:lang w:val="en-US"/>
        </w:rPr>
      </w:pPr>
      <w:r>
        <w:rPr>
          <w:rFonts w:hint="eastAsia" w:ascii="宋体" w:hAnsi="宋体" w:eastAsia="宋体"/>
          <w:sz w:val="24"/>
          <w:szCs w:val="24"/>
          <w:lang w:val="en-US"/>
        </w:rPr>
        <w:t>地址：南京市江宁区东山街道湖山路169号南京市江宁医院</w:t>
      </w:r>
    </w:p>
    <w:p>
      <w:pPr>
        <w:pStyle w:val="2"/>
        <w:rPr>
          <w:rFonts w:hint="eastAsia" w:ascii="宋体" w:hAnsi="宋体" w:eastAsia="宋体"/>
          <w:sz w:val="24"/>
          <w:szCs w:val="24"/>
          <w:lang w:val="en-US"/>
        </w:rPr>
      </w:pPr>
    </w:p>
    <w:p>
      <w:pPr>
        <w:pStyle w:val="2"/>
        <w:rPr>
          <w:rFonts w:hint="eastAsia" w:ascii="宋体" w:hAnsi="宋体" w:eastAsia="宋体"/>
          <w:sz w:val="24"/>
          <w:szCs w:val="24"/>
          <w:lang w:val="en-US"/>
        </w:rPr>
      </w:pPr>
    </w:p>
    <w:p>
      <w:pPr>
        <w:jc w:val="center"/>
        <w:rPr>
          <w:rFonts w:ascii="宋体" w:hAnsi="宋体" w:cs="宋体"/>
          <w:b/>
          <w:kern w:val="0"/>
          <w:sz w:val="28"/>
          <w:szCs w:val="28"/>
        </w:rPr>
      </w:pPr>
      <w:r>
        <w:rPr>
          <w:rFonts w:hint="eastAsia" w:ascii="宋体" w:hAnsi="宋体" w:cs="宋体"/>
          <w:b/>
          <w:kern w:val="0"/>
          <w:sz w:val="28"/>
          <w:szCs w:val="28"/>
        </w:rPr>
        <w:t>第二章  技术参数及要求</w:t>
      </w:r>
    </w:p>
    <w:p>
      <w:pPr>
        <w:pStyle w:val="30"/>
        <w:numPr>
          <w:ilvl w:val="255"/>
          <w:numId w:val="0"/>
        </w:numPr>
        <w:spacing w:line="420" w:lineRule="exact"/>
        <w:rPr>
          <w:rFonts w:ascii="宋体" w:hAnsi="宋体" w:eastAsia="宋体" w:cs="宋体"/>
          <w:b/>
          <w:sz w:val="21"/>
          <w:szCs w:val="21"/>
        </w:rPr>
      </w:pPr>
      <w:r>
        <w:rPr>
          <w:rFonts w:hint="eastAsia" w:ascii="宋体" w:hAnsi="宋体" w:eastAsia="宋体" w:cs="宋体"/>
          <w:b/>
          <w:sz w:val="21"/>
          <w:szCs w:val="21"/>
        </w:rPr>
        <w:t>一、</w:t>
      </w:r>
      <w:r>
        <w:rPr>
          <w:rFonts w:hint="eastAsia" w:ascii="宋体" w:hAnsi="宋体" w:eastAsia="宋体" w:cs="宋体"/>
          <w:b/>
          <w:sz w:val="24"/>
          <w:szCs w:val="24"/>
        </w:rPr>
        <w:t>项目背景</w:t>
      </w:r>
    </w:p>
    <w:p>
      <w:pPr>
        <w:pStyle w:val="19"/>
        <w:spacing w:line="360" w:lineRule="auto"/>
        <w:ind w:firstLine="480" w:firstLineChars="200"/>
        <w:rPr>
          <w:sz w:val="24"/>
          <w:szCs w:val="24"/>
        </w:rPr>
      </w:pPr>
      <w:r>
        <w:rPr>
          <w:rFonts w:hint="eastAsia"/>
          <w:sz w:val="24"/>
          <w:szCs w:val="24"/>
        </w:rPr>
        <w:t>2021年1月6日，国卫财务发〔2020〕30号《关于印发公立医院全面预算管理制度实施办法的通知》，通知中指出为规范公立医院经济运行，严格预算管理、强化预算约束，规范公立医院经济运行，提高资金使用和资源利用效率，国家卫生健康委和国家中医药管理局组织制定了《公立医院全面预算管理制度实施办法》。</w:t>
      </w:r>
    </w:p>
    <w:p>
      <w:pPr>
        <w:pStyle w:val="19"/>
        <w:spacing w:line="360" w:lineRule="auto"/>
        <w:ind w:firstLine="480" w:firstLineChars="200"/>
        <w:rPr>
          <w:sz w:val="24"/>
          <w:szCs w:val="24"/>
        </w:rPr>
      </w:pPr>
      <w:r>
        <w:rPr>
          <w:rFonts w:hint="eastAsia"/>
          <w:sz w:val="24"/>
          <w:szCs w:val="24"/>
        </w:rPr>
        <w:t xml:space="preserve"> 《公立医院全面预算管理制度实施办法》文件第二十四条指出医院要严格执行经批复的预算，完善各项预算管理规章制度，严格遵守预算执行授权审批制度和各项审批程序，形成全方位的预算执行责任体系，并将预算作为开展各项业务活动和经济活动的基本依据。</w:t>
      </w:r>
    </w:p>
    <w:p>
      <w:pPr>
        <w:pStyle w:val="19"/>
        <w:spacing w:line="360" w:lineRule="auto"/>
        <w:ind w:firstLine="480" w:firstLineChars="200"/>
        <w:rPr>
          <w:sz w:val="24"/>
          <w:szCs w:val="24"/>
        </w:rPr>
      </w:pPr>
      <w:r>
        <w:rPr>
          <w:rFonts w:hint="eastAsia"/>
          <w:sz w:val="24"/>
          <w:szCs w:val="24"/>
        </w:rPr>
        <w:t xml:space="preserve"> 同时，根据《关于印发公立医院内部控制管理办法的通知》（国卫财务发〔2020〕31号） 提出的要求，医院内部控制应当覆盖医疗教学科研等业务活动和经济活动，要把内部控制要求融入到单位制度体系和业务流程。</w:t>
      </w:r>
    </w:p>
    <w:p>
      <w:pPr>
        <w:pStyle w:val="19"/>
        <w:spacing w:before="0" w:beforeAutospacing="0" w:after="0" w:afterAutospacing="0" w:line="360" w:lineRule="auto"/>
        <w:ind w:firstLine="480" w:firstLineChars="200"/>
        <w:rPr>
          <w:sz w:val="21"/>
          <w:szCs w:val="21"/>
        </w:rPr>
      </w:pPr>
      <w:r>
        <w:rPr>
          <w:rFonts w:hint="eastAsia"/>
          <w:sz w:val="24"/>
          <w:szCs w:val="24"/>
        </w:rPr>
        <w:t xml:space="preserve"> 立足于医院的信息化管理要求，增加网上财务审批系统的移动端功能</w:t>
      </w:r>
      <w:r>
        <w:rPr>
          <w:rFonts w:hint="eastAsia"/>
          <w:sz w:val="21"/>
          <w:szCs w:val="21"/>
        </w:rPr>
        <w:t>。</w:t>
      </w:r>
    </w:p>
    <w:p>
      <w:pPr>
        <w:pStyle w:val="19"/>
        <w:spacing w:before="0" w:beforeAutospacing="0" w:after="0" w:afterAutospacing="0" w:line="360" w:lineRule="auto"/>
        <w:ind w:firstLine="420" w:firstLineChars="200"/>
        <w:rPr>
          <w:sz w:val="21"/>
          <w:szCs w:val="21"/>
        </w:rPr>
      </w:pPr>
    </w:p>
    <w:p>
      <w:pPr>
        <w:pStyle w:val="30"/>
        <w:spacing w:line="420" w:lineRule="exact"/>
        <w:ind w:firstLine="0" w:firstLineChars="0"/>
        <w:rPr>
          <w:rFonts w:hint="eastAsia" w:ascii="宋体" w:hAnsi="宋体" w:eastAsia="宋体" w:cs="宋体"/>
          <w:b/>
          <w:sz w:val="21"/>
          <w:szCs w:val="21"/>
          <w:lang w:val="en-US" w:eastAsia="zh-CN"/>
        </w:rPr>
      </w:pPr>
      <w:r>
        <w:rPr>
          <w:rFonts w:hint="eastAsia" w:ascii="宋体" w:hAnsi="宋体" w:eastAsia="宋体" w:cs="宋体"/>
          <w:b/>
          <w:sz w:val="21"/>
          <w:szCs w:val="21"/>
        </w:rPr>
        <w:t>二、</w:t>
      </w:r>
      <w:r>
        <w:rPr>
          <w:rFonts w:hint="eastAsia" w:ascii="宋体" w:hAnsi="宋体" w:eastAsia="宋体" w:cs="宋体"/>
          <w:b/>
          <w:sz w:val="24"/>
          <w:szCs w:val="24"/>
          <w:lang w:val="en-US" w:eastAsia="zh-CN"/>
        </w:rPr>
        <w:t>项目</w:t>
      </w:r>
      <w:r>
        <w:rPr>
          <w:rFonts w:hint="eastAsia" w:ascii="宋体" w:hAnsi="宋体" w:eastAsia="宋体" w:cs="宋体"/>
          <w:b/>
          <w:sz w:val="24"/>
          <w:szCs w:val="24"/>
        </w:rPr>
        <w:t>需求</w:t>
      </w:r>
      <w:r>
        <w:rPr>
          <w:rFonts w:hint="eastAsia" w:ascii="宋体" w:hAnsi="宋体" w:eastAsia="宋体" w:cs="宋体"/>
          <w:b/>
          <w:sz w:val="24"/>
          <w:szCs w:val="24"/>
          <w:lang w:val="en-US" w:eastAsia="zh-CN"/>
        </w:rPr>
        <w:t>清单</w:t>
      </w:r>
    </w:p>
    <w:tbl>
      <w:tblPr>
        <w:tblStyle w:val="21"/>
        <w:tblpPr w:leftFromText="180" w:rightFromText="180" w:vertAnchor="text" w:horzAnchor="page" w:tblpX="1722" w:tblpY="33"/>
        <w:tblOverlap w:val="never"/>
        <w:tblW w:w="80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3648"/>
        <w:gridCol w:w="1500"/>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52" w:type="dxa"/>
            <w:shd w:val="clear" w:color="000000" w:fill="F2F2F2"/>
            <w:vAlign w:val="center"/>
          </w:tcPr>
          <w:p>
            <w:pPr>
              <w:spacing w:line="420" w:lineRule="exact"/>
              <w:rPr>
                <w:rFonts w:ascii="宋体" w:hAnsi="宋体" w:cs="宋体"/>
                <w:b/>
                <w:bCs/>
                <w:sz w:val="24"/>
                <w:szCs w:val="24"/>
              </w:rPr>
            </w:pPr>
            <w:r>
              <w:rPr>
                <w:rFonts w:hint="eastAsia" w:ascii="宋体" w:hAnsi="宋体" w:cs="宋体"/>
                <w:b/>
                <w:bCs/>
                <w:sz w:val="24"/>
                <w:szCs w:val="24"/>
              </w:rPr>
              <w:t>序号</w:t>
            </w:r>
          </w:p>
        </w:tc>
        <w:tc>
          <w:tcPr>
            <w:tcW w:w="3648" w:type="dxa"/>
            <w:shd w:val="clear" w:color="000000" w:fill="F2F2F2"/>
            <w:vAlign w:val="center"/>
          </w:tcPr>
          <w:p>
            <w:pPr>
              <w:spacing w:line="420" w:lineRule="exact"/>
              <w:ind w:firstLine="422"/>
              <w:jc w:val="center"/>
              <w:rPr>
                <w:rFonts w:ascii="宋体" w:hAnsi="宋体" w:cs="宋体"/>
                <w:b/>
                <w:bCs/>
                <w:sz w:val="24"/>
                <w:szCs w:val="24"/>
              </w:rPr>
            </w:pPr>
            <w:r>
              <w:rPr>
                <w:rFonts w:hint="eastAsia" w:ascii="宋体" w:hAnsi="宋体" w:cs="宋体"/>
                <w:b/>
                <w:bCs/>
                <w:sz w:val="24"/>
                <w:szCs w:val="24"/>
              </w:rPr>
              <w:t>项    目</w:t>
            </w:r>
          </w:p>
        </w:tc>
        <w:tc>
          <w:tcPr>
            <w:tcW w:w="1500" w:type="dxa"/>
            <w:shd w:val="clear" w:color="000000" w:fill="F2F2F2"/>
            <w:vAlign w:val="center"/>
          </w:tcPr>
          <w:p>
            <w:pPr>
              <w:spacing w:line="420" w:lineRule="exact"/>
              <w:ind w:firstLine="422"/>
              <w:rPr>
                <w:rFonts w:ascii="宋体" w:hAnsi="宋体" w:cs="宋体"/>
                <w:b/>
                <w:bCs/>
                <w:sz w:val="24"/>
                <w:szCs w:val="24"/>
              </w:rPr>
            </w:pPr>
            <w:r>
              <w:rPr>
                <w:rFonts w:hint="eastAsia" w:ascii="宋体" w:hAnsi="宋体" w:cs="宋体"/>
                <w:b/>
                <w:bCs/>
                <w:sz w:val="24"/>
                <w:szCs w:val="24"/>
              </w:rPr>
              <w:t>数量</w:t>
            </w:r>
          </w:p>
        </w:tc>
        <w:tc>
          <w:tcPr>
            <w:tcW w:w="1884" w:type="dxa"/>
            <w:shd w:val="clear" w:color="000000" w:fill="F2F2F2"/>
            <w:vAlign w:val="center"/>
          </w:tcPr>
          <w:p>
            <w:pPr>
              <w:spacing w:line="420" w:lineRule="exact"/>
              <w:ind w:firstLine="422"/>
              <w:rPr>
                <w:rFonts w:ascii="宋体" w:hAnsi="宋体" w:cs="宋体"/>
                <w:b/>
                <w:bCs/>
                <w:sz w:val="24"/>
                <w:szCs w:val="24"/>
              </w:rPr>
            </w:pPr>
            <w:r>
              <w:rPr>
                <w:rFonts w:hint="eastAsia" w:ascii="宋体" w:hAnsi="宋体" w:cs="宋体"/>
                <w:b/>
                <w:bCs/>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52" w:type="dxa"/>
            <w:vAlign w:val="center"/>
          </w:tcPr>
          <w:p>
            <w:pPr>
              <w:spacing w:line="420" w:lineRule="exact"/>
              <w:ind w:firstLine="480" w:firstLineChars="200"/>
              <w:rPr>
                <w:rFonts w:ascii="宋体" w:hAnsi="宋体" w:cs="宋体"/>
                <w:sz w:val="24"/>
                <w:szCs w:val="24"/>
              </w:rPr>
            </w:pPr>
            <w:r>
              <w:rPr>
                <w:rFonts w:hint="eastAsia" w:ascii="宋体" w:hAnsi="宋体" w:cs="宋体"/>
                <w:sz w:val="24"/>
                <w:szCs w:val="24"/>
              </w:rPr>
              <w:t>1</w:t>
            </w:r>
          </w:p>
        </w:tc>
        <w:tc>
          <w:tcPr>
            <w:tcW w:w="3648" w:type="dxa"/>
            <w:vAlign w:val="center"/>
          </w:tcPr>
          <w:p>
            <w:pPr>
              <w:pStyle w:val="26"/>
              <w:spacing w:line="420" w:lineRule="exact"/>
              <w:ind w:firstLine="460"/>
              <w:jc w:val="center"/>
              <w:rPr>
                <w:rFonts w:ascii="宋体" w:hAnsi="宋体" w:cs="宋体"/>
                <w:sz w:val="24"/>
                <w:szCs w:val="24"/>
              </w:rPr>
            </w:pPr>
            <w:r>
              <w:rPr>
                <w:rFonts w:hint="eastAsia" w:ascii="宋体" w:hAnsi="宋体" w:cs="宋体"/>
                <w:sz w:val="24"/>
                <w:szCs w:val="24"/>
              </w:rPr>
              <w:t>江宁医院网批系统(移动端)</w:t>
            </w:r>
          </w:p>
        </w:tc>
        <w:tc>
          <w:tcPr>
            <w:tcW w:w="1500" w:type="dxa"/>
            <w:vAlign w:val="center"/>
          </w:tcPr>
          <w:p>
            <w:pPr>
              <w:spacing w:line="420" w:lineRule="exact"/>
              <w:ind w:firstLine="420"/>
              <w:jc w:val="center"/>
              <w:rPr>
                <w:rFonts w:ascii="宋体" w:hAnsi="宋体" w:cs="宋体"/>
                <w:sz w:val="24"/>
                <w:szCs w:val="24"/>
              </w:rPr>
            </w:pPr>
            <w:r>
              <w:rPr>
                <w:rFonts w:hint="eastAsia" w:ascii="宋体" w:hAnsi="宋体" w:cs="宋体"/>
                <w:sz w:val="24"/>
                <w:szCs w:val="24"/>
              </w:rPr>
              <w:t>1</w:t>
            </w:r>
          </w:p>
        </w:tc>
        <w:tc>
          <w:tcPr>
            <w:tcW w:w="1884" w:type="dxa"/>
            <w:vAlign w:val="center"/>
          </w:tcPr>
          <w:p>
            <w:pPr>
              <w:spacing w:line="420" w:lineRule="exact"/>
              <w:ind w:firstLine="420"/>
              <w:jc w:val="center"/>
              <w:rPr>
                <w:rFonts w:ascii="宋体" w:hAnsi="宋体" w:cs="宋体"/>
                <w:sz w:val="24"/>
                <w:szCs w:val="24"/>
              </w:rPr>
            </w:pPr>
            <w:r>
              <w:rPr>
                <w:rFonts w:hint="eastAsia" w:ascii="宋体" w:hAnsi="宋体" w:cs="宋体"/>
                <w:sz w:val="24"/>
                <w:szCs w:val="24"/>
              </w:rPr>
              <w:t>套</w:t>
            </w:r>
          </w:p>
        </w:tc>
      </w:tr>
    </w:tbl>
    <w:p>
      <w:pPr>
        <w:pStyle w:val="31"/>
        <w:spacing w:line="420" w:lineRule="exact"/>
        <w:ind w:firstLine="0" w:firstLineChars="0"/>
        <w:jc w:val="center"/>
        <w:rPr>
          <w:rFonts w:ascii="宋体" w:hAnsi="宋体"/>
          <w:b/>
          <w:kern w:val="0"/>
          <w:sz w:val="24"/>
          <w:szCs w:val="24"/>
        </w:rPr>
      </w:pPr>
    </w:p>
    <w:p>
      <w:pPr>
        <w:pStyle w:val="31"/>
        <w:numPr>
          <w:ilvl w:val="0"/>
          <w:numId w:val="3"/>
        </w:numPr>
        <w:spacing w:line="420" w:lineRule="exact"/>
        <w:ind w:firstLine="0" w:firstLineChars="0"/>
        <w:rPr>
          <w:rFonts w:ascii="宋体" w:hAnsi="宋体"/>
          <w:b/>
          <w:kern w:val="0"/>
          <w:sz w:val="24"/>
          <w:szCs w:val="24"/>
        </w:rPr>
      </w:pPr>
      <w:r>
        <w:rPr>
          <w:rFonts w:hint="eastAsia" w:ascii="宋体" w:hAnsi="宋体"/>
          <w:b/>
          <w:kern w:val="0"/>
          <w:sz w:val="24"/>
          <w:szCs w:val="24"/>
        </w:rPr>
        <w:t>招标参数</w:t>
      </w:r>
    </w:p>
    <w:p>
      <w:pPr>
        <w:spacing w:line="420" w:lineRule="exact"/>
        <w:ind w:firstLine="422"/>
        <w:rPr>
          <w:rFonts w:ascii="宋体" w:hAnsi="宋体" w:cs="宋体"/>
          <w:b/>
          <w:bCs/>
          <w:color w:val="000000"/>
          <w:kern w:val="0"/>
          <w:sz w:val="24"/>
          <w:szCs w:val="24"/>
        </w:rPr>
      </w:pPr>
      <w:r>
        <w:rPr>
          <w:rFonts w:hint="eastAsia" w:ascii="宋体" w:hAnsi="宋体" w:cs="宋体"/>
          <w:b/>
          <w:bCs/>
          <w:color w:val="000000"/>
          <w:kern w:val="0"/>
          <w:sz w:val="24"/>
          <w:szCs w:val="24"/>
        </w:rPr>
        <w:t>（一）总体要求</w:t>
      </w:r>
    </w:p>
    <w:p>
      <w:pPr>
        <w:pStyle w:val="34"/>
        <w:spacing w:line="360" w:lineRule="auto"/>
        <w:ind w:firstLine="482" w:firstLineChars="201"/>
        <w:rPr>
          <w:rFonts w:ascii="宋体" w:hAnsi="宋体" w:cs="宋体"/>
          <w:sz w:val="24"/>
          <w:szCs w:val="24"/>
        </w:rPr>
      </w:pPr>
      <w:r>
        <w:rPr>
          <w:rFonts w:hint="eastAsia" w:ascii="宋体" w:hAnsi="宋体" w:cs="宋体"/>
          <w:sz w:val="24"/>
          <w:szCs w:val="24"/>
        </w:rPr>
        <w:t>（1）系统在企业微信的应用里面，用户无需安装新的app，方便快捷。</w:t>
      </w:r>
    </w:p>
    <w:p>
      <w:pPr>
        <w:pStyle w:val="34"/>
        <w:spacing w:line="360" w:lineRule="auto"/>
        <w:ind w:firstLine="482" w:firstLineChars="201"/>
        <w:rPr>
          <w:rFonts w:ascii="宋体" w:hAnsi="宋体" w:cs="宋体"/>
          <w:sz w:val="24"/>
          <w:szCs w:val="24"/>
        </w:rPr>
      </w:pPr>
      <w:r>
        <w:rPr>
          <w:rFonts w:hint="eastAsia" w:ascii="宋体" w:hAnsi="宋体" w:cs="宋体"/>
          <w:sz w:val="24"/>
          <w:szCs w:val="24"/>
        </w:rPr>
        <w:t>（2）登录需通过企业微信授权，管理后台对授权进行控制，保证了小程序使用的安全性。</w:t>
      </w:r>
    </w:p>
    <w:p>
      <w:pPr>
        <w:pStyle w:val="34"/>
        <w:spacing w:line="360" w:lineRule="auto"/>
        <w:ind w:firstLine="482" w:firstLineChars="201"/>
        <w:rPr>
          <w:rFonts w:ascii="宋体" w:hAnsi="宋体" w:cs="宋体"/>
          <w:szCs w:val="21"/>
        </w:rPr>
      </w:pPr>
      <w:r>
        <w:rPr>
          <w:rFonts w:hint="eastAsia" w:ascii="宋体" w:hAnsi="宋体" w:cs="宋体"/>
          <w:sz w:val="24"/>
          <w:szCs w:val="24"/>
        </w:rPr>
        <w:t xml:space="preserve">（3）稳定性：在大量用户同时并发访问情况下保持系统稳定。   </w:t>
      </w:r>
    </w:p>
    <w:p>
      <w:pPr>
        <w:pStyle w:val="31"/>
        <w:numPr>
          <w:ilvl w:val="0"/>
          <w:numId w:val="4"/>
        </w:numPr>
        <w:spacing w:line="420" w:lineRule="exact"/>
        <w:ind w:firstLine="0" w:firstLineChars="0"/>
        <w:rPr>
          <w:rFonts w:ascii="宋体" w:hAnsi="宋体"/>
          <w:b/>
          <w:kern w:val="0"/>
          <w:sz w:val="21"/>
          <w:szCs w:val="21"/>
        </w:rPr>
      </w:pPr>
      <w:r>
        <w:rPr>
          <w:rFonts w:hint="eastAsia" w:ascii="宋体" w:hAnsi="宋体"/>
          <w:b/>
          <w:kern w:val="0"/>
          <w:sz w:val="21"/>
          <w:szCs w:val="21"/>
        </w:rPr>
        <w:t>系统功能技术参数要求</w:t>
      </w:r>
    </w:p>
    <w:tbl>
      <w:tblPr>
        <w:tblStyle w:val="21"/>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67"/>
        <w:gridCol w:w="1134"/>
        <w:gridCol w:w="1134"/>
        <w:gridCol w:w="6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89" w:hRule="atLeast"/>
          <w:jc w:val="center"/>
        </w:trPr>
        <w:tc>
          <w:tcPr>
            <w:tcW w:w="567" w:type="dxa"/>
            <w:tcBorders>
              <w:right w:val="single" w:color="auto" w:sz="4" w:space="0"/>
            </w:tcBorders>
            <w:shd w:val="clear" w:color="auto" w:fill="auto"/>
            <w:vAlign w:val="center"/>
          </w:tcPr>
          <w:p>
            <w:pPr>
              <w:rPr>
                <w:rFonts w:hint="eastAsia" w:ascii="宋体" w:hAnsi="宋体" w:eastAsia="宋体" w:cs="宋体"/>
                <w:b/>
                <w:sz w:val="24"/>
                <w:szCs w:val="24"/>
              </w:rPr>
            </w:pPr>
            <w:r>
              <w:rPr>
                <w:rFonts w:hint="eastAsia" w:ascii="宋体" w:hAnsi="宋体" w:eastAsia="宋体" w:cs="宋体"/>
                <w:b/>
                <w:sz w:val="24"/>
                <w:szCs w:val="24"/>
              </w:rPr>
              <w:t>序号</w:t>
            </w:r>
          </w:p>
        </w:tc>
        <w:tc>
          <w:tcPr>
            <w:tcW w:w="1134" w:type="dxa"/>
            <w:tcBorders>
              <w:left w:val="single" w:color="auto" w:sz="4" w:space="0"/>
            </w:tcBorders>
            <w:shd w:val="clear" w:color="auto" w:fill="auto"/>
            <w:vAlign w:val="center"/>
          </w:tcPr>
          <w:p>
            <w:pPr>
              <w:rPr>
                <w:rFonts w:hint="eastAsia" w:ascii="宋体" w:hAnsi="宋体" w:eastAsia="宋体" w:cs="宋体"/>
                <w:b/>
                <w:sz w:val="24"/>
                <w:szCs w:val="24"/>
              </w:rPr>
            </w:pPr>
            <w:r>
              <w:rPr>
                <w:rFonts w:hint="eastAsia" w:ascii="宋体" w:hAnsi="宋体" w:eastAsia="宋体" w:cs="宋体"/>
                <w:b/>
                <w:sz w:val="24"/>
                <w:szCs w:val="24"/>
              </w:rPr>
              <w:t>功能模块</w:t>
            </w:r>
          </w:p>
        </w:tc>
        <w:tc>
          <w:tcPr>
            <w:tcW w:w="1134" w:type="dxa"/>
            <w:tcBorders>
              <w:right w:val="single" w:color="auto" w:sz="4" w:space="0"/>
            </w:tcBorders>
            <w:shd w:val="clear" w:color="auto" w:fill="auto"/>
            <w:vAlign w:val="center"/>
          </w:tcPr>
          <w:p>
            <w:pPr>
              <w:rPr>
                <w:rFonts w:hint="eastAsia" w:ascii="宋体" w:hAnsi="宋体" w:eastAsia="宋体" w:cs="宋体"/>
                <w:b/>
                <w:sz w:val="24"/>
                <w:szCs w:val="24"/>
              </w:rPr>
            </w:pPr>
            <w:r>
              <w:rPr>
                <w:rFonts w:hint="eastAsia" w:ascii="宋体" w:hAnsi="宋体" w:eastAsia="宋体" w:cs="宋体"/>
                <w:b/>
                <w:sz w:val="24"/>
                <w:szCs w:val="24"/>
              </w:rPr>
              <w:t>功能列表</w:t>
            </w:r>
          </w:p>
        </w:tc>
        <w:tc>
          <w:tcPr>
            <w:tcW w:w="6804" w:type="dxa"/>
            <w:tcBorders>
              <w:left w:val="single" w:color="auto" w:sz="4" w:space="0"/>
            </w:tcBorders>
            <w:shd w:val="clear" w:color="auto" w:fill="auto"/>
            <w:vAlign w:val="center"/>
          </w:tcPr>
          <w:p>
            <w:pPr>
              <w:ind w:firstLine="422"/>
              <w:jc w:val="center"/>
              <w:rPr>
                <w:rFonts w:hint="eastAsia" w:ascii="宋体" w:hAnsi="宋体" w:eastAsia="宋体" w:cs="宋体"/>
                <w:b/>
                <w:sz w:val="24"/>
                <w:szCs w:val="24"/>
              </w:rPr>
            </w:pPr>
            <w:r>
              <w:rPr>
                <w:rFonts w:hint="eastAsia" w:ascii="宋体" w:hAnsi="宋体" w:eastAsia="宋体" w:cs="宋体"/>
                <w:b/>
                <w:sz w:val="24"/>
                <w:szCs w:val="24"/>
              </w:rPr>
              <w:t>功能要求说明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0" w:hRule="atLeast"/>
          <w:jc w:val="center"/>
        </w:trPr>
        <w:tc>
          <w:tcPr>
            <w:tcW w:w="567" w:type="dxa"/>
            <w:vMerge w:val="restart"/>
            <w:tcBorders>
              <w:right w:val="single" w:color="auto" w:sz="4" w:space="0"/>
            </w:tcBorders>
            <w:shd w:val="clear" w:color="auto" w:fill="auto"/>
            <w:vAlign w:val="center"/>
          </w:tcPr>
          <w:p>
            <w:pPr>
              <w:widowControl w:val="0"/>
              <w:ind w:firstLine="420"/>
              <w:jc w:val="center"/>
              <w:rPr>
                <w:rFonts w:hint="eastAsia" w:ascii="宋体" w:hAnsi="宋体" w:eastAsia="宋体" w:cs="宋体"/>
                <w:sz w:val="24"/>
                <w:szCs w:val="24"/>
              </w:rPr>
            </w:pPr>
            <w:r>
              <w:rPr>
                <w:rFonts w:hint="eastAsia" w:ascii="宋体" w:hAnsi="宋体" w:eastAsia="宋体" w:cs="宋体"/>
                <w:sz w:val="24"/>
                <w:szCs w:val="24"/>
              </w:rPr>
              <w:t>1</w:t>
            </w:r>
          </w:p>
        </w:tc>
        <w:tc>
          <w:tcPr>
            <w:tcW w:w="1134" w:type="dxa"/>
            <w:vMerge w:val="restart"/>
            <w:tcBorders>
              <w:left w:val="single" w:color="auto" w:sz="4" w:space="0"/>
            </w:tcBorders>
            <w:shd w:val="clear" w:color="auto" w:fill="auto"/>
            <w:vAlign w:val="center"/>
          </w:tcPr>
          <w:p>
            <w:pPr>
              <w:widowControl w:val="0"/>
              <w:rPr>
                <w:rFonts w:hint="eastAsia" w:ascii="宋体" w:hAnsi="宋体" w:eastAsia="宋体" w:cs="宋体"/>
                <w:sz w:val="24"/>
                <w:szCs w:val="24"/>
              </w:rPr>
            </w:pPr>
            <w:r>
              <w:rPr>
                <w:rFonts w:hint="eastAsia" w:ascii="宋体" w:hAnsi="宋体" w:eastAsia="宋体" w:cs="宋体"/>
                <w:sz w:val="24"/>
                <w:szCs w:val="24"/>
              </w:rPr>
              <w:t>网批系统(移动端)</w:t>
            </w:r>
          </w:p>
        </w:tc>
        <w:tc>
          <w:tcPr>
            <w:tcW w:w="1134" w:type="dxa"/>
            <w:vMerge w:val="restart"/>
            <w:tcBorders>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报销申请</w:t>
            </w:r>
          </w:p>
        </w:tc>
        <w:tc>
          <w:tcPr>
            <w:tcW w:w="6804" w:type="dxa"/>
            <w:tcBorders>
              <w:left w:val="single" w:color="auto" w:sz="4" w:space="0"/>
              <w:bottom w:val="single" w:color="auto" w:sz="4" w:space="0"/>
            </w:tcBorders>
            <w:shd w:val="clear" w:color="auto" w:fill="auto"/>
            <w:vAlign w:val="center"/>
          </w:tcPr>
          <w:p>
            <w:pPr>
              <w:ind w:firstLine="42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ab/>
            </w:r>
            <w:r>
              <w:rPr>
                <w:rFonts w:hint="eastAsia" w:ascii="宋体" w:hAnsi="宋体" w:eastAsia="宋体" w:cs="宋体"/>
                <w:sz w:val="24"/>
                <w:szCs w:val="24"/>
              </w:rPr>
              <w:t>支持报销时，支持在线填写报销单。包括通用经费报销单、差旅费报销单、借款单等表单。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0" w:hRule="atLeast"/>
          <w:jc w:val="center"/>
        </w:trPr>
        <w:tc>
          <w:tcPr>
            <w:tcW w:w="567" w:type="dxa"/>
            <w:vMerge w:val="continue"/>
            <w:tcBorders>
              <w:right w:val="single" w:color="auto" w:sz="4" w:space="0"/>
            </w:tcBorders>
            <w:shd w:val="clear" w:color="auto" w:fill="auto"/>
            <w:vAlign w:val="center"/>
          </w:tcPr>
          <w:p>
            <w:pPr>
              <w:widowControl w:val="0"/>
              <w:ind w:firstLine="420"/>
              <w:jc w:val="center"/>
              <w:rPr>
                <w:rFonts w:hint="eastAsia" w:ascii="宋体" w:hAnsi="宋体" w:eastAsia="宋体" w:cs="宋体"/>
                <w:sz w:val="24"/>
                <w:szCs w:val="24"/>
              </w:rPr>
            </w:pPr>
          </w:p>
        </w:tc>
        <w:tc>
          <w:tcPr>
            <w:tcW w:w="1134" w:type="dxa"/>
            <w:vMerge w:val="continue"/>
            <w:tcBorders>
              <w:left w:val="single" w:color="auto" w:sz="4" w:space="0"/>
            </w:tcBorders>
            <w:shd w:val="clear" w:color="auto" w:fill="auto"/>
            <w:vAlign w:val="center"/>
          </w:tcPr>
          <w:p>
            <w:pPr>
              <w:widowControl w:val="0"/>
              <w:ind w:firstLine="420"/>
              <w:jc w:val="center"/>
              <w:rPr>
                <w:rFonts w:hint="eastAsia" w:ascii="宋体" w:hAnsi="宋体" w:eastAsia="宋体" w:cs="宋体"/>
                <w:sz w:val="24"/>
                <w:szCs w:val="24"/>
              </w:rPr>
            </w:pPr>
          </w:p>
        </w:tc>
        <w:tc>
          <w:tcPr>
            <w:tcW w:w="1134" w:type="dxa"/>
            <w:vMerge w:val="continue"/>
            <w:tcBorders>
              <w:right w:val="single" w:color="auto" w:sz="4" w:space="0"/>
            </w:tcBorders>
            <w:shd w:val="clear" w:color="auto" w:fill="auto"/>
            <w:vAlign w:val="center"/>
          </w:tcPr>
          <w:p>
            <w:pPr>
              <w:ind w:firstLine="420"/>
              <w:jc w:val="center"/>
              <w:rPr>
                <w:rFonts w:hint="eastAsia" w:ascii="宋体" w:hAnsi="宋体" w:eastAsia="宋体" w:cs="宋体"/>
                <w:sz w:val="24"/>
                <w:szCs w:val="24"/>
              </w:rPr>
            </w:pPr>
          </w:p>
        </w:tc>
        <w:tc>
          <w:tcPr>
            <w:tcW w:w="6804" w:type="dxa"/>
            <w:tcBorders>
              <w:top w:val="single" w:color="auto" w:sz="4" w:space="0"/>
              <w:left w:val="single" w:color="auto" w:sz="4" w:space="0"/>
              <w:bottom w:val="single" w:color="auto" w:sz="4" w:space="0"/>
            </w:tcBorders>
            <w:shd w:val="clear" w:color="auto" w:fill="auto"/>
            <w:vAlign w:val="center"/>
          </w:tcPr>
          <w:p>
            <w:pPr>
              <w:ind w:firstLine="420"/>
              <w:rPr>
                <w:rFonts w:hint="eastAsia" w:ascii="宋体" w:hAnsi="宋体" w:eastAsia="宋体" w:cs="宋体"/>
                <w:sz w:val="24"/>
                <w:szCs w:val="24"/>
              </w:rPr>
            </w:pPr>
            <w:r>
              <w:rPr>
                <w:rFonts w:hint="eastAsia" w:ascii="宋体" w:hAnsi="宋体" w:eastAsia="宋体" w:cs="宋体"/>
                <w:sz w:val="24"/>
                <w:szCs w:val="24"/>
              </w:rPr>
              <w:t>★（1）通用经费报销单</w:t>
            </w:r>
          </w:p>
          <w:p>
            <w:pPr>
              <w:ind w:firstLine="420"/>
              <w:rPr>
                <w:rFonts w:hint="eastAsia" w:ascii="宋体" w:hAnsi="宋体" w:eastAsia="宋体" w:cs="宋体"/>
                <w:sz w:val="24"/>
                <w:szCs w:val="24"/>
              </w:rPr>
            </w:pPr>
            <w:r>
              <w:rPr>
                <w:rFonts w:hint="eastAsia" w:ascii="宋体" w:hAnsi="宋体" w:eastAsia="宋体" w:cs="宋体"/>
                <w:sz w:val="24"/>
                <w:szCs w:val="24"/>
              </w:rPr>
              <w:t>一般通用经费报销单，可选择收款方，录入电子发票号码，关联借款单等功能。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5" w:hRule="atLeast"/>
          <w:jc w:val="center"/>
        </w:trPr>
        <w:tc>
          <w:tcPr>
            <w:tcW w:w="567" w:type="dxa"/>
            <w:vMerge w:val="continue"/>
            <w:tcBorders>
              <w:right w:val="single" w:color="auto" w:sz="4" w:space="0"/>
            </w:tcBorders>
            <w:shd w:val="clear" w:color="auto" w:fill="auto"/>
            <w:vAlign w:val="center"/>
          </w:tcPr>
          <w:p>
            <w:pPr>
              <w:widowControl w:val="0"/>
              <w:ind w:firstLine="420"/>
              <w:jc w:val="center"/>
              <w:rPr>
                <w:rFonts w:hint="eastAsia" w:ascii="宋体" w:hAnsi="宋体" w:eastAsia="宋体" w:cs="宋体"/>
                <w:sz w:val="24"/>
                <w:szCs w:val="24"/>
              </w:rPr>
            </w:pPr>
          </w:p>
        </w:tc>
        <w:tc>
          <w:tcPr>
            <w:tcW w:w="1134" w:type="dxa"/>
            <w:vMerge w:val="continue"/>
            <w:tcBorders>
              <w:left w:val="single" w:color="auto" w:sz="4" w:space="0"/>
            </w:tcBorders>
            <w:shd w:val="clear" w:color="auto" w:fill="auto"/>
            <w:vAlign w:val="center"/>
          </w:tcPr>
          <w:p>
            <w:pPr>
              <w:widowControl w:val="0"/>
              <w:ind w:firstLine="420"/>
              <w:jc w:val="center"/>
              <w:rPr>
                <w:rFonts w:hint="eastAsia" w:ascii="宋体" w:hAnsi="宋体" w:eastAsia="宋体" w:cs="宋体"/>
                <w:sz w:val="24"/>
                <w:szCs w:val="24"/>
              </w:rPr>
            </w:pPr>
          </w:p>
        </w:tc>
        <w:tc>
          <w:tcPr>
            <w:tcW w:w="1134" w:type="dxa"/>
            <w:vMerge w:val="continue"/>
            <w:tcBorders>
              <w:right w:val="single" w:color="auto" w:sz="4" w:space="0"/>
            </w:tcBorders>
            <w:shd w:val="clear" w:color="auto" w:fill="auto"/>
            <w:vAlign w:val="center"/>
          </w:tcPr>
          <w:p>
            <w:pPr>
              <w:ind w:firstLine="420"/>
              <w:jc w:val="center"/>
              <w:rPr>
                <w:rFonts w:hint="eastAsia" w:ascii="宋体" w:hAnsi="宋体" w:eastAsia="宋体" w:cs="宋体"/>
                <w:sz w:val="24"/>
                <w:szCs w:val="24"/>
              </w:rPr>
            </w:pPr>
          </w:p>
        </w:tc>
        <w:tc>
          <w:tcPr>
            <w:tcW w:w="6804" w:type="dxa"/>
            <w:tcBorders>
              <w:top w:val="single" w:color="auto" w:sz="4" w:space="0"/>
              <w:left w:val="single" w:color="auto" w:sz="4" w:space="0"/>
              <w:bottom w:val="single" w:color="auto" w:sz="4" w:space="0"/>
            </w:tcBorders>
            <w:shd w:val="clear" w:color="auto" w:fill="auto"/>
            <w:vAlign w:val="center"/>
          </w:tcPr>
          <w:p>
            <w:pPr>
              <w:ind w:firstLine="420"/>
              <w:rPr>
                <w:rFonts w:hint="eastAsia" w:ascii="宋体" w:hAnsi="宋体" w:eastAsia="宋体" w:cs="宋体"/>
                <w:sz w:val="24"/>
                <w:szCs w:val="24"/>
              </w:rPr>
            </w:pPr>
            <w:r>
              <w:rPr>
                <w:rFonts w:hint="eastAsia" w:ascii="宋体" w:hAnsi="宋体" w:eastAsia="宋体" w:cs="宋体"/>
                <w:sz w:val="24"/>
                <w:szCs w:val="24"/>
              </w:rPr>
              <w:t>（2）差旅费报销单</w:t>
            </w:r>
          </w:p>
          <w:p>
            <w:pPr>
              <w:ind w:firstLine="420"/>
              <w:rPr>
                <w:rFonts w:hint="eastAsia" w:ascii="宋体" w:hAnsi="宋体" w:eastAsia="宋体" w:cs="宋体"/>
                <w:sz w:val="24"/>
                <w:szCs w:val="24"/>
              </w:rPr>
            </w:pPr>
            <w:r>
              <w:rPr>
                <w:rFonts w:hint="eastAsia" w:ascii="宋体" w:hAnsi="宋体" w:eastAsia="宋体" w:cs="宋体"/>
                <w:sz w:val="24"/>
                <w:szCs w:val="24"/>
              </w:rPr>
              <w:t>针对员工出差过程中所产生的费用进行报销申请，包括出差基本信息、票据信息、补贴信息等。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0" w:hRule="atLeast"/>
          <w:jc w:val="center"/>
        </w:trPr>
        <w:tc>
          <w:tcPr>
            <w:tcW w:w="567" w:type="dxa"/>
            <w:vMerge w:val="continue"/>
            <w:tcBorders>
              <w:right w:val="single" w:color="auto" w:sz="4" w:space="0"/>
            </w:tcBorders>
            <w:shd w:val="clear" w:color="auto" w:fill="auto"/>
            <w:vAlign w:val="center"/>
          </w:tcPr>
          <w:p>
            <w:pPr>
              <w:widowControl w:val="0"/>
              <w:ind w:firstLine="420"/>
              <w:jc w:val="center"/>
              <w:rPr>
                <w:rFonts w:hint="eastAsia" w:ascii="宋体" w:hAnsi="宋体" w:eastAsia="宋体" w:cs="宋体"/>
                <w:sz w:val="24"/>
                <w:szCs w:val="24"/>
              </w:rPr>
            </w:pPr>
          </w:p>
        </w:tc>
        <w:tc>
          <w:tcPr>
            <w:tcW w:w="1134" w:type="dxa"/>
            <w:vMerge w:val="continue"/>
            <w:tcBorders>
              <w:left w:val="single" w:color="auto" w:sz="4" w:space="0"/>
            </w:tcBorders>
            <w:shd w:val="clear" w:color="auto" w:fill="auto"/>
            <w:vAlign w:val="center"/>
          </w:tcPr>
          <w:p>
            <w:pPr>
              <w:widowControl w:val="0"/>
              <w:ind w:firstLine="420"/>
              <w:jc w:val="center"/>
              <w:rPr>
                <w:rFonts w:hint="eastAsia" w:ascii="宋体" w:hAnsi="宋体" w:eastAsia="宋体" w:cs="宋体"/>
                <w:sz w:val="24"/>
                <w:szCs w:val="24"/>
              </w:rPr>
            </w:pPr>
          </w:p>
        </w:tc>
        <w:tc>
          <w:tcPr>
            <w:tcW w:w="1134" w:type="dxa"/>
            <w:vMerge w:val="continue"/>
            <w:tcBorders>
              <w:bottom w:val="single" w:color="auto" w:sz="4" w:space="0"/>
              <w:right w:val="single" w:color="auto" w:sz="4" w:space="0"/>
            </w:tcBorders>
            <w:shd w:val="clear" w:color="auto" w:fill="auto"/>
            <w:vAlign w:val="center"/>
          </w:tcPr>
          <w:p>
            <w:pPr>
              <w:ind w:firstLine="420"/>
              <w:jc w:val="center"/>
              <w:rPr>
                <w:rFonts w:hint="eastAsia" w:ascii="宋体" w:hAnsi="宋体" w:eastAsia="宋体" w:cs="宋体"/>
                <w:sz w:val="24"/>
                <w:szCs w:val="24"/>
              </w:rPr>
            </w:pPr>
          </w:p>
        </w:tc>
        <w:tc>
          <w:tcPr>
            <w:tcW w:w="6804" w:type="dxa"/>
            <w:tcBorders>
              <w:top w:val="single" w:color="auto" w:sz="4" w:space="0"/>
              <w:left w:val="single" w:color="auto" w:sz="4" w:space="0"/>
              <w:bottom w:val="single" w:color="auto" w:sz="4" w:space="0"/>
            </w:tcBorders>
            <w:shd w:val="clear" w:color="auto" w:fill="auto"/>
            <w:vAlign w:val="center"/>
          </w:tcPr>
          <w:p>
            <w:pPr>
              <w:ind w:firstLine="420"/>
              <w:rPr>
                <w:rFonts w:hint="eastAsia" w:ascii="宋体" w:hAnsi="宋体" w:eastAsia="宋体" w:cs="宋体"/>
                <w:sz w:val="24"/>
                <w:szCs w:val="24"/>
              </w:rPr>
            </w:pPr>
            <w:r>
              <w:rPr>
                <w:rFonts w:hint="eastAsia" w:ascii="宋体" w:hAnsi="宋体" w:eastAsia="宋体" w:cs="宋体"/>
                <w:sz w:val="24"/>
                <w:szCs w:val="24"/>
              </w:rPr>
              <w:t>（3）借款单</w:t>
            </w:r>
          </w:p>
          <w:p>
            <w:pPr>
              <w:ind w:firstLine="420"/>
              <w:rPr>
                <w:rFonts w:hint="eastAsia" w:ascii="宋体" w:hAnsi="宋体" w:eastAsia="宋体" w:cs="宋体"/>
                <w:sz w:val="24"/>
                <w:szCs w:val="24"/>
              </w:rPr>
            </w:pPr>
            <w:r>
              <w:rPr>
                <w:rFonts w:hint="eastAsia" w:ascii="宋体" w:hAnsi="宋体" w:eastAsia="宋体" w:cs="宋体"/>
                <w:sz w:val="24"/>
                <w:szCs w:val="24"/>
              </w:rPr>
              <w:t>针对员工现金借款业务，并提供借款历史信息的查询。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5" w:hRule="atLeast"/>
          <w:jc w:val="center"/>
        </w:trPr>
        <w:tc>
          <w:tcPr>
            <w:tcW w:w="567" w:type="dxa"/>
            <w:vMerge w:val="continue"/>
            <w:tcBorders>
              <w:right w:val="single" w:color="auto" w:sz="4" w:space="0"/>
            </w:tcBorders>
            <w:shd w:val="clear" w:color="auto" w:fill="auto"/>
            <w:vAlign w:val="center"/>
          </w:tcPr>
          <w:p>
            <w:pPr>
              <w:widowControl w:val="0"/>
              <w:ind w:firstLine="420"/>
              <w:jc w:val="center"/>
              <w:rPr>
                <w:rFonts w:hint="eastAsia" w:ascii="宋体" w:hAnsi="宋体" w:eastAsia="宋体" w:cs="宋体"/>
                <w:sz w:val="24"/>
                <w:szCs w:val="24"/>
              </w:rPr>
            </w:pPr>
          </w:p>
        </w:tc>
        <w:tc>
          <w:tcPr>
            <w:tcW w:w="1134" w:type="dxa"/>
            <w:vMerge w:val="continue"/>
            <w:tcBorders>
              <w:left w:val="single" w:color="auto" w:sz="4" w:space="0"/>
            </w:tcBorders>
            <w:shd w:val="clear" w:color="auto" w:fill="auto"/>
            <w:vAlign w:val="center"/>
          </w:tcPr>
          <w:p>
            <w:pPr>
              <w:widowControl w:val="0"/>
              <w:ind w:firstLine="420"/>
              <w:jc w:val="center"/>
              <w:rPr>
                <w:rFonts w:hint="eastAsia" w:ascii="宋体" w:hAnsi="宋体" w:eastAsia="宋体" w:cs="宋体"/>
                <w:sz w:val="24"/>
                <w:szCs w:val="24"/>
              </w:rPr>
            </w:pPr>
          </w:p>
        </w:tc>
        <w:tc>
          <w:tcPr>
            <w:tcW w:w="1134" w:type="dxa"/>
            <w:vMerge w:val="restart"/>
            <w:tcBorders>
              <w:top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财务稽核</w:t>
            </w:r>
          </w:p>
        </w:tc>
        <w:tc>
          <w:tcPr>
            <w:tcW w:w="6804" w:type="dxa"/>
            <w:tcBorders>
              <w:top w:val="single" w:color="auto" w:sz="4" w:space="0"/>
              <w:left w:val="single" w:color="auto" w:sz="4" w:space="0"/>
              <w:bottom w:val="single" w:color="auto" w:sz="4" w:space="0"/>
            </w:tcBorders>
            <w:shd w:val="clear" w:color="auto" w:fill="auto"/>
          </w:tcPr>
          <w:p>
            <w:pPr>
              <w:ind w:firstLine="420"/>
              <w:rPr>
                <w:rFonts w:hint="eastAsia" w:ascii="宋体" w:hAnsi="宋体" w:eastAsia="宋体" w:cs="宋体"/>
                <w:sz w:val="24"/>
                <w:szCs w:val="24"/>
              </w:rPr>
            </w:pPr>
            <w:r>
              <w:rPr>
                <w:rFonts w:hint="eastAsia" w:ascii="宋体" w:hAnsi="宋体" w:eastAsia="宋体" w:cs="宋体"/>
                <w:sz w:val="24"/>
                <w:szCs w:val="24"/>
              </w:rPr>
              <w:t>支持初审会计查看单据内容，查看上传的影像，填写审批意见，进行审批操作。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5" w:hRule="atLeast"/>
          <w:jc w:val="center"/>
        </w:trPr>
        <w:tc>
          <w:tcPr>
            <w:tcW w:w="567" w:type="dxa"/>
            <w:vMerge w:val="continue"/>
            <w:tcBorders>
              <w:right w:val="single" w:color="auto" w:sz="4" w:space="0"/>
            </w:tcBorders>
            <w:shd w:val="clear" w:color="auto" w:fill="auto"/>
            <w:vAlign w:val="center"/>
          </w:tcPr>
          <w:p>
            <w:pPr>
              <w:widowControl w:val="0"/>
              <w:ind w:firstLine="420"/>
              <w:jc w:val="center"/>
              <w:rPr>
                <w:rFonts w:hint="eastAsia" w:ascii="宋体" w:hAnsi="宋体" w:eastAsia="宋体" w:cs="宋体"/>
                <w:sz w:val="24"/>
                <w:szCs w:val="24"/>
              </w:rPr>
            </w:pPr>
          </w:p>
        </w:tc>
        <w:tc>
          <w:tcPr>
            <w:tcW w:w="1134" w:type="dxa"/>
            <w:vMerge w:val="continue"/>
            <w:tcBorders>
              <w:left w:val="single" w:color="auto" w:sz="4" w:space="0"/>
            </w:tcBorders>
            <w:shd w:val="clear" w:color="auto" w:fill="auto"/>
            <w:vAlign w:val="center"/>
          </w:tcPr>
          <w:p>
            <w:pPr>
              <w:widowControl w:val="0"/>
              <w:ind w:firstLine="420"/>
              <w:jc w:val="center"/>
              <w:rPr>
                <w:rFonts w:hint="eastAsia" w:ascii="宋体" w:hAnsi="宋体" w:eastAsia="宋体" w:cs="宋体"/>
                <w:sz w:val="24"/>
                <w:szCs w:val="24"/>
              </w:rPr>
            </w:pPr>
          </w:p>
        </w:tc>
        <w:tc>
          <w:tcPr>
            <w:tcW w:w="1134" w:type="dxa"/>
            <w:vMerge w:val="continue"/>
            <w:tcBorders>
              <w:right w:val="single" w:color="auto" w:sz="4" w:space="0"/>
            </w:tcBorders>
            <w:shd w:val="clear" w:color="auto" w:fill="auto"/>
            <w:vAlign w:val="center"/>
          </w:tcPr>
          <w:p>
            <w:pPr>
              <w:ind w:firstLine="420"/>
              <w:jc w:val="center"/>
              <w:rPr>
                <w:rFonts w:hint="eastAsia" w:ascii="宋体" w:hAnsi="宋体" w:eastAsia="宋体" w:cs="宋体"/>
                <w:sz w:val="24"/>
                <w:szCs w:val="24"/>
              </w:rPr>
            </w:pPr>
          </w:p>
        </w:tc>
        <w:tc>
          <w:tcPr>
            <w:tcW w:w="6804" w:type="dxa"/>
            <w:tcBorders>
              <w:top w:val="single" w:color="auto" w:sz="4" w:space="0"/>
              <w:left w:val="single" w:color="auto" w:sz="4" w:space="0"/>
              <w:bottom w:val="single" w:color="auto" w:sz="4" w:space="0"/>
            </w:tcBorders>
            <w:shd w:val="clear" w:color="auto" w:fill="auto"/>
          </w:tcPr>
          <w:p>
            <w:pPr>
              <w:ind w:firstLine="420"/>
              <w:rPr>
                <w:rFonts w:hint="eastAsia" w:ascii="宋体" w:hAnsi="宋体" w:eastAsia="宋体" w:cs="宋体"/>
                <w:sz w:val="24"/>
                <w:szCs w:val="24"/>
              </w:rPr>
            </w:pPr>
            <w:r>
              <w:rPr>
                <w:rFonts w:hint="eastAsia" w:ascii="宋体" w:hAnsi="宋体" w:eastAsia="宋体" w:cs="宋体"/>
                <w:sz w:val="24"/>
                <w:szCs w:val="24"/>
              </w:rPr>
              <w:t xml:space="preserve">支持财务对报销单据进行审核、驳回功能。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0" w:hRule="atLeast"/>
          <w:jc w:val="center"/>
        </w:trPr>
        <w:tc>
          <w:tcPr>
            <w:tcW w:w="567" w:type="dxa"/>
            <w:vMerge w:val="continue"/>
            <w:tcBorders>
              <w:right w:val="single" w:color="auto" w:sz="4" w:space="0"/>
            </w:tcBorders>
            <w:shd w:val="clear" w:color="auto" w:fill="auto"/>
            <w:vAlign w:val="center"/>
          </w:tcPr>
          <w:p>
            <w:pPr>
              <w:widowControl w:val="0"/>
              <w:ind w:firstLine="420"/>
              <w:jc w:val="center"/>
              <w:rPr>
                <w:rFonts w:hint="eastAsia" w:ascii="宋体" w:hAnsi="宋体" w:eastAsia="宋体" w:cs="宋体"/>
                <w:sz w:val="24"/>
                <w:szCs w:val="24"/>
              </w:rPr>
            </w:pPr>
          </w:p>
        </w:tc>
        <w:tc>
          <w:tcPr>
            <w:tcW w:w="1134" w:type="dxa"/>
            <w:vMerge w:val="continue"/>
            <w:tcBorders>
              <w:left w:val="single" w:color="auto" w:sz="4" w:space="0"/>
            </w:tcBorders>
            <w:shd w:val="clear" w:color="auto" w:fill="auto"/>
            <w:vAlign w:val="center"/>
          </w:tcPr>
          <w:p>
            <w:pPr>
              <w:widowControl w:val="0"/>
              <w:ind w:firstLine="420"/>
              <w:jc w:val="center"/>
              <w:rPr>
                <w:rFonts w:hint="eastAsia" w:ascii="宋体" w:hAnsi="宋体" w:eastAsia="宋体" w:cs="宋体"/>
                <w:sz w:val="24"/>
                <w:szCs w:val="24"/>
              </w:rPr>
            </w:pPr>
          </w:p>
        </w:tc>
        <w:tc>
          <w:tcPr>
            <w:tcW w:w="1134" w:type="dxa"/>
            <w:vMerge w:val="restart"/>
            <w:tcBorders>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报销审批</w:t>
            </w:r>
          </w:p>
        </w:tc>
        <w:tc>
          <w:tcPr>
            <w:tcW w:w="6804" w:type="dxa"/>
            <w:tcBorders>
              <w:left w:val="single" w:color="auto" w:sz="4" w:space="0"/>
              <w:bottom w:val="single" w:color="auto" w:sz="4" w:space="0"/>
            </w:tcBorders>
            <w:shd w:val="clear" w:color="auto" w:fill="auto"/>
            <w:vAlign w:val="center"/>
          </w:tcPr>
          <w:p>
            <w:pPr>
              <w:ind w:firstLine="420"/>
              <w:rPr>
                <w:rFonts w:hint="eastAsia" w:ascii="宋体" w:hAnsi="宋体" w:eastAsia="宋体" w:cs="宋体"/>
                <w:sz w:val="24"/>
                <w:szCs w:val="24"/>
              </w:rPr>
            </w:pPr>
            <w:r>
              <w:rPr>
                <w:rFonts w:hint="eastAsia" w:ascii="宋体" w:hAnsi="宋体" w:eastAsia="宋体" w:cs="宋体"/>
                <w:sz w:val="24"/>
                <w:szCs w:val="24"/>
              </w:rPr>
              <w:t>★支持财务处领导进行审批、驳回功能。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0" w:hRule="atLeast"/>
          <w:jc w:val="center"/>
        </w:trPr>
        <w:tc>
          <w:tcPr>
            <w:tcW w:w="567" w:type="dxa"/>
            <w:vMerge w:val="continue"/>
            <w:tcBorders>
              <w:right w:val="single" w:color="auto" w:sz="4" w:space="0"/>
            </w:tcBorders>
            <w:shd w:val="clear" w:color="auto" w:fill="auto"/>
            <w:vAlign w:val="center"/>
          </w:tcPr>
          <w:p>
            <w:pPr>
              <w:widowControl w:val="0"/>
              <w:ind w:firstLine="420"/>
              <w:jc w:val="center"/>
              <w:rPr>
                <w:rFonts w:hint="eastAsia" w:ascii="宋体" w:hAnsi="宋体" w:eastAsia="宋体" w:cs="宋体"/>
                <w:sz w:val="24"/>
                <w:szCs w:val="24"/>
              </w:rPr>
            </w:pPr>
          </w:p>
        </w:tc>
        <w:tc>
          <w:tcPr>
            <w:tcW w:w="1134" w:type="dxa"/>
            <w:vMerge w:val="continue"/>
            <w:tcBorders>
              <w:left w:val="single" w:color="auto" w:sz="4" w:space="0"/>
            </w:tcBorders>
            <w:shd w:val="clear" w:color="auto" w:fill="auto"/>
            <w:vAlign w:val="center"/>
          </w:tcPr>
          <w:p>
            <w:pPr>
              <w:widowControl w:val="0"/>
              <w:ind w:firstLine="420"/>
              <w:jc w:val="center"/>
              <w:rPr>
                <w:rFonts w:hint="eastAsia" w:ascii="宋体" w:hAnsi="宋体" w:eastAsia="宋体" w:cs="宋体"/>
                <w:sz w:val="24"/>
                <w:szCs w:val="24"/>
              </w:rPr>
            </w:pPr>
          </w:p>
        </w:tc>
        <w:tc>
          <w:tcPr>
            <w:tcW w:w="1134" w:type="dxa"/>
            <w:vMerge w:val="continue"/>
            <w:tcBorders>
              <w:right w:val="single" w:color="auto" w:sz="4" w:space="0"/>
            </w:tcBorders>
            <w:shd w:val="clear" w:color="auto" w:fill="auto"/>
            <w:vAlign w:val="center"/>
          </w:tcPr>
          <w:p>
            <w:pPr>
              <w:ind w:firstLine="420"/>
              <w:jc w:val="center"/>
              <w:rPr>
                <w:rFonts w:hint="eastAsia" w:ascii="宋体" w:hAnsi="宋体" w:eastAsia="宋体" w:cs="宋体"/>
                <w:sz w:val="24"/>
                <w:szCs w:val="24"/>
              </w:rPr>
            </w:pPr>
          </w:p>
        </w:tc>
        <w:tc>
          <w:tcPr>
            <w:tcW w:w="6804" w:type="dxa"/>
            <w:tcBorders>
              <w:left w:val="single" w:color="auto" w:sz="4" w:space="0"/>
              <w:bottom w:val="single" w:color="auto" w:sz="4" w:space="0"/>
            </w:tcBorders>
            <w:shd w:val="clear" w:color="auto" w:fill="auto"/>
            <w:vAlign w:val="center"/>
          </w:tcPr>
          <w:p>
            <w:pPr>
              <w:ind w:firstLine="420"/>
              <w:rPr>
                <w:rFonts w:hint="eastAsia" w:ascii="宋体" w:hAnsi="宋体" w:eastAsia="宋体" w:cs="宋体"/>
                <w:sz w:val="24"/>
                <w:szCs w:val="24"/>
              </w:rPr>
            </w:pPr>
            <w:r>
              <w:rPr>
                <w:rFonts w:hint="eastAsia" w:ascii="宋体" w:hAnsi="宋体" w:eastAsia="宋体" w:cs="宋体"/>
                <w:sz w:val="24"/>
                <w:szCs w:val="24"/>
              </w:rPr>
              <w:t>支持多种审批方式，按金额分档、审批流审批。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0" w:hRule="atLeast"/>
          <w:jc w:val="center"/>
        </w:trPr>
        <w:tc>
          <w:tcPr>
            <w:tcW w:w="567" w:type="dxa"/>
            <w:vMerge w:val="continue"/>
            <w:tcBorders>
              <w:right w:val="single" w:color="auto" w:sz="4" w:space="0"/>
            </w:tcBorders>
            <w:shd w:val="clear" w:color="auto" w:fill="auto"/>
            <w:vAlign w:val="center"/>
          </w:tcPr>
          <w:p>
            <w:pPr>
              <w:widowControl w:val="0"/>
              <w:ind w:firstLine="420"/>
              <w:jc w:val="center"/>
              <w:rPr>
                <w:rFonts w:hint="eastAsia" w:ascii="宋体" w:hAnsi="宋体" w:eastAsia="宋体" w:cs="宋体"/>
                <w:sz w:val="24"/>
                <w:szCs w:val="24"/>
              </w:rPr>
            </w:pPr>
          </w:p>
        </w:tc>
        <w:tc>
          <w:tcPr>
            <w:tcW w:w="1134" w:type="dxa"/>
            <w:vMerge w:val="continue"/>
            <w:tcBorders>
              <w:left w:val="single" w:color="auto" w:sz="4" w:space="0"/>
            </w:tcBorders>
            <w:shd w:val="clear" w:color="auto" w:fill="auto"/>
            <w:vAlign w:val="center"/>
          </w:tcPr>
          <w:p>
            <w:pPr>
              <w:widowControl w:val="0"/>
              <w:ind w:firstLine="420"/>
              <w:jc w:val="center"/>
              <w:rPr>
                <w:rFonts w:hint="eastAsia" w:ascii="宋体" w:hAnsi="宋体" w:eastAsia="宋体" w:cs="宋体"/>
                <w:sz w:val="24"/>
                <w:szCs w:val="24"/>
              </w:rPr>
            </w:pPr>
          </w:p>
        </w:tc>
        <w:tc>
          <w:tcPr>
            <w:tcW w:w="1134" w:type="dxa"/>
            <w:vMerge w:val="continue"/>
            <w:tcBorders>
              <w:right w:val="single" w:color="auto" w:sz="4" w:space="0"/>
            </w:tcBorders>
            <w:shd w:val="clear" w:color="auto" w:fill="auto"/>
            <w:vAlign w:val="center"/>
          </w:tcPr>
          <w:p>
            <w:pPr>
              <w:ind w:firstLine="420"/>
              <w:jc w:val="center"/>
              <w:rPr>
                <w:rFonts w:hint="eastAsia" w:ascii="宋体" w:hAnsi="宋体" w:eastAsia="宋体" w:cs="宋体"/>
                <w:sz w:val="24"/>
                <w:szCs w:val="24"/>
              </w:rPr>
            </w:pPr>
          </w:p>
        </w:tc>
        <w:tc>
          <w:tcPr>
            <w:tcW w:w="6804" w:type="dxa"/>
            <w:tcBorders>
              <w:left w:val="single" w:color="auto" w:sz="4" w:space="0"/>
              <w:bottom w:val="single" w:color="auto" w:sz="4" w:space="0"/>
            </w:tcBorders>
            <w:shd w:val="clear" w:color="auto" w:fill="auto"/>
            <w:vAlign w:val="center"/>
          </w:tcPr>
          <w:p>
            <w:pPr>
              <w:ind w:firstLine="420"/>
              <w:rPr>
                <w:rFonts w:hint="eastAsia" w:ascii="宋体" w:hAnsi="宋体" w:eastAsia="宋体" w:cs="宋体"/>
                <w:sz w:val="24"/>
                <w:szCs w:val="24"/>
              </w:rPr>
            </w:pPr>
            <w:r>
              <w:rPr>
                <w:rFonts w:hint="eastAsia" w:ascii="宋体" w:hAnsi="宋体" w:eastAsia="宋体" w:cs="宋体"/>
                <w:sz w:val="24"/>
                <w:szCs w:val="24"/>
              </w:rPr>
              <w:t>支持各级领导直接在手机端查看单据内容，填写审批意见，进行审批操作。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0" w:hRule="atLeast"/>
          <w:jc w:val="center"/>
        </w:trPr>
        <w:tc>
          <w:tcPr>
            <w:tcW w:w="567" w:type="dxa"/>
            <w:vMerge w:val="continue"/>
            <w:tcBorders>
              <w:right w:val="single" w:color="auto" w:sz="4" w:space="0"/>
            </w:tcBorders>
            <w:shd w:val="clear" w:color="auto" w:fill="auto"/>
            <w:vAlign w:val="center"/>
          </w:tcPr>
          <w:p>
            <w:pPr>
              <w:widowControl w:val="0"/>
              <w:ind w:firstLine="420"/>
              <w:jc w:val="center"/>
              <w:rPr>
                <w:rFonts w:hint="eastAsia" w:ascii="宋体" w:hAnsi="宋体" w:eastAsia="宋体" w:cs="宋体"/>
                <w:sz w:val="24"/>
                <w:szCs w:val="24"/>
              </w:rPr>
            </w:pPr>
          </w:p>
        </w:tc>
        <w:tc>
          <w:tcPr>
            <w:tcW w:w="1134" w:type="dxa"/>
            <w:vMerge w:val="continue"/>
            <w:tcBorders>
              <w:left w:val="single" w:color="auto" w:sz="4" w:space="0"/>
            </w:tcBorders>
            <w:shd w:val="clear" w:color="auto" w:fill="auto"/>
            <w:vAlign w:val="center"/>
          </w:tcPr>
          <w:p>
            <w:pPr>
              <w:widowControl w:val="0"/>
              <w:ind w:firstLine="420"/>
              <w:jc w:val="center"/>
              <w:rPr>
                <w:rFonts w:hint="eastAsia" w:ascii="宋体" w:hAnsi="宋体" w:eastAsia="宋体" w:cs="宋体"/>
                <w:sz w:val="24"/>
                <w:szCs w:val="24"/>
              </w:rPr>
            </w:pPr>
          </w:p>
        </w:tc>
        <w:tc>
          <w:tcPr>
            <w:tcW w:w="1134" w:type="dxa"/>
            <w:vMerge w:val="restart"/>
            <w:tcBorders>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流程设计</w:t>
            </w:r>
          </w:p>
        </w:tc>
        <w:tc>
          <w:tcPr>
            <w:tcW w:w="6804" w:type="dxa"/>
            <w:tcBorders>
              <w:left w:val="single" w:color="auto" w:sz="4" w:space="0"/>
              <w:bottom w:val="single" w:color="auto" w:sz="4" w:space="0"/>
            </w:tcBorders>
            <w:shd w:val="clear" w:color="auto" w:fill="auto"/>
            <w:vAlign w:val="center"/>
          </w:tcPr>
          <w:p>
            <w:pPr>
              <w:ind w:firstLine="420"/>
              <w:rPr>
                <w:rFonts w:hint="eastAsia" w:ascii="宋体" w:hAnsi="宋体" w:eastAsia="宋体" w:cs="宋体"/>
                <w:sz w:val="24"/>
                <w:szCs w:val="24"/>
              </w:rPr>
            </w:pPr>
            <w:r>
              <w:rPr>
                <w:rFonts w:hint="eastAsia" w:ascii="宋体" w:hAnsi="宋体" w:eastAsia="宋体" w:cs="宋体"/>
                <w:sz w:val="24"/>
                <w:szCs w:val="24"/>
              </w:rPr>
              <w:t>★支持审批流程自定义设计，能针对不同的单据设计不同的审批流程。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0" w:hRule="atLeast"/>
          <w:jc w:val="center"/>
        </w:trPr>
        <w:tc>
          <w:tcPr>
            <w:tcW w:w="567" w:type="dxa"/>
            <w:vMerge w:val="continue"/>
            <w:tcBorders>
              <w:right w:val="single" w:color="auto" w:sz="4" w:space="0"/>
            </w:tcBorders>
            <w:shd w:val="clear" w:color="auto" w:fill="auto"/>
            <w:vAlign w:val="center"/>
          </w:tcPr>
          <w:p>
            <w:pPr>
              <w:widowControl w:val="0"/>
              <w:ind w:firstLine="420"/>
              <w:jc w:val="center"/>
              <w:rPr>
                <w:rFonts w:hint="eastAsia" w:ascii="宋体" w:hAnsi="宋体" w:eastAsia="宋体" w:cs="宋体"/>
                <w:sz w:val="24"/>
                <w:szCs w:val="24"/>
              </w:rPr>
            </w:pPr>
          </w:p>
        </w:tc>
        <w:tc>
          <w:tcPr>
            <w:tcW w:w="1134" w:type="dxa"/>
            <w:vMerge w:val="continue"/>
            <w:tcBorders>
              <w:left w:val="single" w:color="auto" w:sz="4" w:space="0"/>
            </w:tcBorders>
            <w:shd w:val="clear" w:color="auto" w:fill="auto"/>
            <w:vAlign w:val="center"/>
          </w:tcPr>
          <w:p>
            <w:pPr>
              <w:widowControl w:val="0"/>
              <w:ind w:firstLine="420"/>
              <w:jc w:val="center"/>
              <w:rPr>
                <w:rFonts w:hint="eastAsia" w:ascii="宋体" w:hAnsi="宋体" w:eastAsia="宋体" w:cs="宋体"/>
                <w:sz w:val="24"/>
                <w:szCs w:val="24"/>
              </w:rPr>
            </w:pPr>
          </w:p>
        </w:tc>
        <w:tc>
          <w:tcPr>
            <w:tcW w:w="1134" w:type="dxa"/>
            <w:vMerge w:val="continue"/>
            <w:tcBorders>
              <w:right w:val="single" w:color="auto" w:sz="4" w:space="0"/>
            </w:tcBorders>
            <w:shd w:val="clear" w:color="auto" w:fill="auto"/>
            <w:vAlign w:val="center"/>
          </w:tcPr>
          <w:p>
            <w:pPr>
              <w:ind w:firstLine="420"/>
              <w:jc w:val="center"/>
              <w:rPr>
                <w:rFonts w:hint="eastAsia" w:ascii="宋体" w:hAnsi="宋体" w:eastAsia="宋体" w:cs="宋体"/>
                <w:sz w:val="24"/>
                <w:szCs w:val="24"/>
              </w:rPr>
            </w:pPr>
          </w:p>
        </w:tc>
        <w:tc>
          <w:tcPr>
            <w:tcW w:w="6804" w:type="dxa"/>
            <w:tcBorders>
              <w:left w:val="single" w:color="auto" w:sz="4" w:space="0"/>
              <w:bottom w:val="single" w:color="auto" w:sz="4" w:space="0"/>
            </w:tcBorders>
            <w:shd w:val="clear" w:color="auto" w:fill="auto"/>
            <w:vAlign w:val="center"/>
          </w:tcPr>
          <w:p>
            <w:pPr>
              <w:ind w:firstLine="420"/>
              <w:rPr>
                <w:rFonts w:hint="eastAsia" w:ascii="宋体" w:hAnsi="宋体" w:eastAsia="宋体" w:cs="宋体"/>
                <w:sz w:val="24"/>
                <w:szCs w:val="24"/>
              </w:rPr>
            </w:pPr>
            <w:r>
              <w:rPr>
                <w:rFonts w:hint="eastAsia" w:ascii="宋体" w:hAnsi="宋体" w:eastAsia="宋体" w:cs="宋体"/>
                <w:sz w:val="24"/>
                <w:szCs w:val="24"/>
              </w:rPr>
              <w:t>支持进行流转条件自定义设计，即超过金额上限自动流转到对应的审批人界面。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0" w:hRule="atLeast"/>
          <w:jc w:val="center"/>
        </w:trPr>
        <w:tc>
          <w:tcPr>
            <w:tcW w:w="567" w:type="dxa"/>
            <w:vMerge w:val="continue"/>
            <w:tcBorders>
              <w:right w:val="single" w:color="auto" w:sz="4" w:space="0"/>
            </w:tcBorders>
            <w:shd w:val="clear" w:color="auto" w:fill="auto"/>
            <w:vAlign w:val="center"/>
          </w:tcPr>
          <w:p>
            <w:pPr>
              <w:ind w:firstLine="420"/>
              <w:jc w:val="center"/>
              <w:rPr>
                <w:rFonts w:hint="eastAsia" w:ascii="宋体" w:hAnsi="宋体" w:eastAsia="宋体" w:cs="宋体"/>
                <w:sz w:val="24"/>
                <w:szCs w:val="24"/>
              </w:rPr>
            </w:pPr>
          </w:p>
        </w:tc>
        <w:tc>
          <w:tcPr>
            <w:tcW w:w="1134" w:type="dxa"/>
            <w:vMerge w:val="continue"/>
            <w:tcBorders>
              <w:left w:val="single" w:color="auto" w:sz="4" w:space="0"/>
            </w:tcBorders>
            <w:shd w:val="clear" w:color="auto" w:fill="auto"/>
            <w:vAlign w:val="center"/>
          </w:tcPr>
          <w:p>
            <w:pPr>
              <w:ind w:firstLine="420"/>
              <w:jc w:val="center"/>
              <w:rPr>
                <w:rFonts w:hint="eastAsia" w:ascii="宋体" w:hAnsi="宋体" w:eastAsia="宋体" w:cs="宋体"/>
                <w:sz w:val="24"/>
                <w:szCs w:val="24"/>
              </w:rPr>
            </w:pPr>
          </w:p>
        </w:tc>
        <w:tc>
          <w:tcPr>
            <w:tcW w:w="1134" w:type="dxa"/>
            <w:vMerge w:val="continue"/>
            <w:tcBorders>
              <w:right w:val="single" w:color="auto" w:sz="4" w:space="0"/>
            </w:tcBorders>
            <w:shd w:val="clear" w:color="auto" w:fill="auto"/>
            <w:vAlign w:val="center"/>
          </w:tcPr>
          <w:p>
            <w:pPr>
              <w:ind w:firstLine="420"/>
              <w:jc w:val="center"/>
              <w:rPr>
                <w:rFonts w:hint="eastAsia" w:ascii="宋体" w:hAnsi="宋体" w:eastAsia="宋体" w:cs="宋体"/>
                <w:sz w:val="24"/>
                <w:szCs w:val="24"/>
              </w:rPr>
            </w:pPr>
          </w:p>
        </w:tc>
        <w:tc>
          <w:tcPr>
            <w:tcW w:w="6804" w:type="dxa"/>
            <w:tcBorders>
              <w:left w:val="single" w:color="auto" w:sz="4" w:space="0"/>
              <w:bottom w:val="single" w:color="auto" w:sz="4" w:space="0"/>
            </w:tcBorders>
            <w:shd w:val="clear" w:color="auto" w:fill="auto"/>
            <w:vAlign w:val="center"/>
          </w:tcPr>
          <w:p>
            <w:pPr>
              <w:ind w:firstLine="420"/>
              <w:rPr>
                <w:rFonts w:hint="eastAsia" w:ascii="宋体" w:hAnsi="宋体" w:eastAsia="宋体" w:cs="宋体"/>
                <w:sz w:val="24"/>
                <w:szCs w:val="24"/>
              </w:rPr>
            </w:pPr>
            <w:r>
              <w:rPr>
                <w:rFonts w:hint="eastAsia" w:ascii="宋体" w:hAnsi="宋体" w:eastAsia="宋体" w:cs="宋体"/>
                <w:sz w:val="24"/>
                <w:szCs w:val="24"/>
              </w:rPr>
              <w:t>支持审批过程查询，可以查询当前单据审批状态。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5" w:hRule="atLeast"/>
          <w:jc w:val="center"/>
        </w:trPr>
        <w:tc>
          <w:tcPr>
            <w:tcW w:w="567" w:type="dxa"/>
            <w:vMerge w:val="continue"/>
            <w:tcBorders>
              <w:right w:val="single" w:color="auto" w:sz="4" w:space="0"/>
            </w:tcBorders>
            <w:shd w:val="clear" w:color="auto" w:fill="auto"/>
            <w:vAlign w:val="center"/>
          </w:tcPr>
          <w:p>
            <w:pPr>
              <w:ind w:firstLine="420"/>
              <w:jc w:val="center"/>
              <w:rPr>
                <w:rFonts w:hint="eastAsia" w:ascii="宋体" w:hAnsi="宋体" w:eastAsia="宋体" w:cs="宋体"/>
                <w:sz w:val="24"/>
                <w:szCs w:val="24"/>
              </w:rPr>
            </w:pPr>
          </w:p>
        </w:tc>
        <w:tc>
          <w:tcPr>
            <w:tcW w:w="1134" w:type="dxa"/>
            <w:vMerge w:val="continue"/>
            <w:tcBorders>
              <w:left w:val="single" w:color="auto" w:sz="4" w:space="0"/>
            </w:tcBorders>
            <w:shd w:val="clear" w:color="auto" w:fill="auto"/>
            <w:vAlign w:val="center"/>
          </w:tcPr>
          <w:p>
            <w:pPr>
              <w:ind w:firstLine="420"/>
              <w:jc w:val="center"/>
              <w:rPr>
                <w:rFonts w:hint="eastAsia" w:ascii="宋体" w:hAnsi="宋体" w:eastAsia="宋体" w:cs="宋体"/>
                <w:sz w:val="24"/>
                <w:szCs w:val="24"/>
              </w:rPr>
            </w:pPr>
          </w:p>
        </w:tc>
        <w:tc>
          <w:tcPr>
            <w:tcW w:w="1134" w:type="dxa"/>
            <w:vMerge w:val="continue"/>
            <w:tcBorders>
              <w:bottom w:val="single" w:color="auto" w:sz="4" w:space="0"/>
              <w:right w:val="single" w:color="auto" w:sz="4" w:space="0"/>
            </w:tcBorders>
            <w:shd w:val="clear" w:color="auto" w:fill="auto"/>
            <w:vAlign w:val="center"/>
          </w:tcPr>
          <w:p>
            <w:pPr>
              <w:ind w:firstLine="420"/>
              <w:jc w:val="center"/>
              <w:rPr>
                <w:rFonts w:hint="eastAsia" w:ascii="宋体" w:hAnsi="宋体" w:eastAsia="宋体" w:cs="宋体"/>
                <w:sz w:val="24"/>
                <w:szCs w:val="24"/>
              </w:rPr>
            </w:pPr>
          </w:p>
        </w:tc>
        <w:tc>
          <w:tcPr>
            <w:tcW w:w="6804" w:type="dxa"/>
            <w:tcBorders>
              <w:top w:val="single" w:color="auto" w:sz="4" w:space="0"/>
              <w:left w:val="single" w:color="auto" w:sz="4" w:space="0"/>
              <w:bottom w:val="single" w:color="auto" w:sz="4" w:space="0"/>
            </w:tcBorders>
            <w:shd w:val="clear" w:color="auto" w:fill="auto"/>
            <w:vAlign w:val="center"/>
          </w:tcPr>
          <w:p>
            <w:pPr>
              <w:ind w:firstLine="420"/>
              <w:rPr>
                <w:rFonts w:hint="eastAsia" w:ascii="宋体" w:hAnsi="宋体" w:eastAsia="宋体" w:cs="宋体"/>
                <w:sz w:val="24"/>
                <w:szCs w:val="24"/>
              </w:rPr>
            </w:pPr>
            <w:r>
              <w:rPr>
                <w:rFonts w:hint="eastAsia" w:ascii="宋体" w:hAnsi="宋体" w:eastAsia="宋体" w:cs="宋体"/>
                <w:sz w:val="24"/>
                <w:szCs w:val="24"/>
              </w:rPr>
              <w:t>支持审批工作自动提醒，系统能以醒目的方式提醒有待审批业务。</w:t>
            </w:r>
          </w:p>
        </w:tc>
      </w:tr>
    </w:tbl>
    <w:p>
      <w:pPr>
        <w:spacing w:before="120" w:line="420" w:lineRule="exact"/>
        <w:ind w:firstLine="420"/>
        <w:rPr>
          <w:rFonts w:ascii="宋体" w:hAnsi="宋体" w:cs="宋体"/>
          <w:color w:val="333333"/>
          <w:sz w:val="24"/>
          <w:szCs w:val="24"/>
          <w:shd w:val="clear" w:color="auto" w:fill="FFFFFF"/>
        </w:rPr>
      </w:pPr>
      <w:r>
        <w:rPr>
          <w:rFonts w:hint="eastAsia" w:ascii="宋体" w:hAnsi="宋体" w:cs="宋体"/>
          <w:sz w:val="24"/>
          <w:szCs w:val="24"/>
        </w:rPr>
        <w:t>注：标★</w:t>
      </w:r>
      <w:r>
        <w:rPr>
          <w:rFonts w:hint="eastAsia"/>
          <w:sz w:val="24"/>
          <w:szCs w:val="24"/>
        </w:rPr>
        <w:t>为关键指标项，为必展示内容，需提供截图，如不满足要求严重负偏离影响投标产品服务、性能的，经半数以上评委认定，本项不得分。</w:t>
      </w:r>
    </w:p>
    <w:p>
      <w:pPr>
        <w:pStyle w:val="15"/>
        <w:spacing w:line="420" w:lineRule="exact"/>
        <w:rPr>
          <w:sz w:val="24"/>
          <w:szCs w:val="24"/>
        </w:rPr>
      </w:pPr>
    </w:p>
    <w:p>
      <w:pPr>
        <w:pStyle w:val="31"/>
        <w:spacing w:line="420" w:lineRule="exact"/>
        <w:ind w:firstLine="0" w:firstLineChars="0"/>
        <w:rPr>
          <w:rFonts w:ascii="宋体" w:hAnsi="宋体"/>
          <w:b/>
          <w:kern w:val="0"/>
          <w:sz w:val="24"/>
          <w:szCs w:val="24"/>
        </w:rPr>
      </w:pPr>
      <w:r>
        <w:rPr>
          <w:rFonts w:hint="eastAsia" w:ascii="宋体" w:hAnsi="宋体"/>
          <w:b/>
          <w:kern w:val="0"/>
          <w:sz w:val="24"/>
          <w:szCs w:val="24"/>
        </w:rPr>
        <w:t>四、实施及售后服务要求：</w:t>
      </w:r>
    </w:p>
    <w:p>
      <w:pPr>
        <w:spacing w:line="420" w:lineRule="exact"/>
        <w:ind w:firstLine="446"/>
        <w:rPr>
          <w:rFonts w:ascii="宋体" w:hAnsi="宋体" w:cs="宋体"/>
          <w:b/>
          <w:color w:val="000000"/>
          <w:spacing w:val="6"/>
          <w:kern w:val="48"/>
          <w:sz w:val="24"/>
          <w:szCs w:val="24"/>
        </w:rPr>
      </w:pPr>
      <w:r>
        <w:rPr>
          <w:rFonts w:hint="eastAsia" w:ascii="宋体" w:hAnsi="宋体" w:cs="宋体"/>
          <w:b/>
          <w:color w:val="000000"/>
          <w:spacing w:val="6"/>
          <w:kern w:val="48"/>
          <w:sz w:val="24"/>
          <w:szCs w:val="24"/>
        </w:rPr>
        <w:t>（1）实施管理要求</w:t>
      </w:r>
    </w:p>
    <w:p>
      <w:pPr>
        <w:adjustRightInd w:val="0"/>
        <w:snapToGrid w:val="0"/>
        <w:spacing w:line="360" w:lineRule="auto"/>
        <w:ind w:firstLine="481" w:firstLineChars="191"/>
        <w:rPr>
          <w:rFonts w:ascii="宋体" w:hAnsi="宋体" w:cs="宋体"/>
          <w:color w:val="000000"/>
          <w:spacing w:val="6"/>
          <w:kern w:val="48"/>
          <w:sz w:val="24"/>
          <w:szCs w:val="24"/>
        </w:rPr>
      </w:pPr>
      <w:r>
        <w:rPr>
          <w:rFonts w:hint="eastAsia" w:ascii="宋体" w:hAnsi="宋体" w:cs="宋体"/>
          <w:color w:val="000000"/>
          <w:spacing w:val="6"/>
          <w:kern w:val="48"/>
          <w:sz w:val="24"/>
          <w:szCs w:val="24"/>
        </w:rPr>
        <w:t>1、供应商应提供高质量的实施团队，并尽快在规定的时间内完成项目的实施工作，确保软件可以按时上线运行</w:t>
      </w:r>
    </w:p>
    <w:p>
      <w:pPr>
        <w:pStyle w:val="2"/>
        <w:adjustRightInd w:val="0"/>
        <w:snapToGrid w:val="0"/>
        <w:spacing w:line="360" w:lineRule="auto"/>
        <w:ind w:left="0" w:firstLine="420"/>
        <w:rPr>
          <w:sz w:val="24"/>
          <w:szCs w:val="24"/>
        </w:rPr>
      </w:pPr>
      <w:r>
        <w:rPr>
          <w:rFonts w:hint="eastAsia"/>
          <w:sz w:val="24"/>
          <w:szCs w:val="24"/>
        </w:rPr>
        <w:t>2、实施内容</w:t>
      </w:r>
    </w:p>
    <w:p>
      <w:pPr>
        <w:pStyle w:val="2"/>
        <w:adjustRightInd w:val="0"/>
        <w:snapToGrid w:val="0"/>
        <w:spacing w:line="360" w:lineRule="auto"/>
        <w:ind w:left="0" w:firstLine="420"/>
        <w:rPr>
          <w:sz w:val="24"/>
          <w:szCs w:val="24"/>
        </w:rPr>
      </w:pPr>
      <w:r>
        <w:rPr>
          <w:rFonts w:hint="eastAsia"/>
          <w:sz w:val="24"/>
          <w:szCs w:val="24"/>
        </w:rPr>
        <w:t>2.1 完成“网批系统(移动端)系统”，由专业技术人员上门安装、调试、配置系统。</w:t>
      </w:r>
    </w:p>
    <w:p>
      <w:pPr>
        <w:pStyle w:val="2"/>
        <w:adjustRightInd w:val="0"/>
        <w:snapToGrid w:val="0"/>
        <w:spacing w:line="360" w:lineRule="auto"/>
        <w:ind w:left="0" w:firstLine="420"/>
        <w:rPr>
          <w:sz w:val="24"/>
          <w:szCs w:val="24"/>
        </w:rPr>
      </w:pPr>
      <w:r>
        <w:rPr>
          <w:rFonts w:hint="eastAsia"/>
          <w:sz w:val="24"/>
          <w:szCs w:val="24"/>
        </w:rPr>
        <w:t>2.</w:t>
      </w:r>
      <w:r>
        <w:rPr>
          <w:sz w:val="24"/>
          <w:szCs w:val="24"/>
        </w:rPr>
        <w:t>2</w:t>
      </w:r>
      <w:r>
        <w:rPr>
          <w:rFonts w:hint="eastAsia"/>
          <w:sz w:val="24"/>
          <w:szCs w:val="24"/>
        </w:rPr>
        <w:t xml:space="preserve"> 培训相关操作和管理人员，保障工作人员能熟练操作本项目系统，制定培训计划，包括但不限于（1）对院领导、科主任、归口负责人、科室人员等不同对象的培训计划；（2）培训课程安排、培训方式由原厂商提供，时间、地点及场所由医院提供;（3）提供系统操作培训：主要面向使用系统的人员，提供操作培训。</w:t>
      </w:r>
    </w:p>
    <w:p>
      <w:pPr>
        <w:pStyle w:val="3"/>
        <w:spacing w:line="420" w:lineRule="exact"/>
        <w:ind w:left="430" w:leftChars="200" w:hanging="10" w:hangingChars="4"/>
        <w:rPr>
          <w:rFonts w:ascii="宋体" w:hAnsi="宋体" w:eastAsia="宋体" w:cs="宋体"/>
          <w:bCs w:val="0"/>
          <w:color w:val="000000"/>
          <w:spacing w:val="6"/>
          <w:kern w:val="48"/>
          <w:sz w:val="24"/>
          <w:szCs w:val="24"/>
          <w:lang w:val="en-US"/>
        </w:rPr>
      </w:pPr>
      <w:r>
        <w:rPr>
          <w:rFonts w:hint="eastAsia" w:ascii="宋体" w:hAnsi="宋体" w:eastAsia="宋体" w:cs="宋体"/>
          <w:bCs w:val="0"/>
          <w:color w:val="000000"/>
          <w:spacing w:val="6"/>
          <w:kern w:val="48"/>
          <w:sz w:val="24"/>
          <w:szCs w:val="24"/>
          <w:lang w:val="en-US"/>
        </w:rPr>
        <w:t>（2）</w:t>
      </w:r>
      <w:bookmarkStart w:id="0" w:name="_Toc30206"/>
      <w:bookmarkStart w:id="1" w:name="_Toc75796287"/>
      <w:r>
        <w:rPr>
          <w:rFonts w:hint="eastAsia" w:ascii="宋体" w:hAnsi="宋体" w:eastAsia="宋体" w:cs="宋体"/>
          <w:bCs w:val="0"/>
          <w:color w:val="000000"/>
          <w:spacing w:val="6"/>
          <w:kern w:val="48"/>
          <w:sz w:val="24"/>
          <w:szCs w:val="24"/>
          <w:lang w:val="en-US"/>
        </w:rPr>
        <w:t>售后服务要求</w:t>
      </w:r>
      <w:bookmarkEnd w:id="0"/>
      <w:bookmarkEnd w:id="1"/>
      <w:bookmarkStart w:id="2" w:name="_Toc12552"/>
    </w:p>
    <w:bookmarkEnd w:id="2"/>
    <w:p>
      <w:pPr>
        <w:pStyle w:val="26"/>
        <w:spacing w:line="420" w:lineRule="exact"/>
        <w:ind w:firstLine="460"/>
        <w:rPr>
          <w:rFonts w:ascii="宋体" w:hAnsi="宋体" w:cs="宋体"/>
          <w:sz w:val="24"/>
          <w:szCs w:val="24"/>
        </w:rPr>
      </w:pPr>
      <w:r>
        <w:rPr>
          <w:rFonts w:hint="eastAsia" w:ascii="宋体" w:hAnsi="宋体" w:cs="宋体"/>
          <w:sz w:val="24"/>
          <w:szCs w:val="24"/>
        </w:rPr>
        <w:t>1、售后服务机制</w:t>
      </w:r>
    </w:p>
    <w:p>
      <w:pPr>
        <w:pStyle w:val="26"/>
        <w:spacing w:line="420" w:lineRule="exact"/>
        <w:ind w:firstLine="460"/>
        <w:rPr>
          <w:rFonts w:ascii="宋体" w:hAnsi="宋体" w:cs="宋体"/>
          <w:sz w:val="24"/>
          <w:szCs w:val="24"/>
        </w:rPr>
      </w:pPr>
      <w:r>
        <w:rPr>
          <w:rFonts w:hint="eastAsia" w:ascii="宋体" w:hAnsi="宋体" w:cs="宋体"/>
          <w:sz w:val="24"/>
          <w:szCs w:val="24"/>
        </w:rPr>
        <w:t>1.1.供应商应提供全方位的服务，包括：技术咨询、操作培训、系统维护、数据库调优等。</w:t>
      </w:r>
    </w:p>
    <w:p>
      <w:pPr>
        <w:pStyle w:val="26"/>
        <w:spacing w:line="420" w:lineRule="exact"/>
        <w:ind w:firstLine="460"/>
        <w:rPr>
          <w:rFonts w:ascii="宋体" w:hAnsi="宋体" w:cs="宋体"/>
          <w:sz w:val="24"/>
          <w:szCs w:val="24"/>
        </w:rPr>
      </w:pPr>
      <w:r>
        <w:rPr>
          <w:rFonts w:hint="eastAsia" w:ascii="宋体" w:hAnsi="宋体" w:cs="宋体"/>
          <w:sz w:val="24"/>
          <w:szCs w:val="24"/>
        </w:rPr>
        <w:t>1.2.有专门的服务队伍，以确保服务畅通和高效，实行项目经理负责制。</w:t>
      </w:r>
    </w:p>
    <w:p>
      <w:pPr>
        <w:pStyle w:val="26"/>
        <w:spacing w:line="420" w:lineRule="exact"/>
        <w:ind w:firstLine="460"/>
        <w:rPr>
          <w:rFonts w:ascii="宋体" w:hAnsi="宋体" w:cs="宋体"/>
          <w:sz w:val="24"/>
          <w:szCs w:val="24"/>
        </w:rPr>
      </w:pPr>
      <w:r>
        <w:rPr>
          <w:rFonts w:hint="eastAsia" w:ascii="宋体" w:hAnsi="宋体" w:cs="宋体"/>
          <w:sz w:val="24"/>
          <w:szCs w:val="24"/>
        </w:rPr>
        <w:t>1.3.有完备的跟踪服务制度，通过定期的电话回访、走访等方式对服务进行跟踪，以保证客户满意。</w:t>
      </w:r>
    </w:p>
    <w:p>
      <w:pPr>
        <w:pStyle w:val="26"/>
        <w:spacing w:line="420" w:lineRule="exact"/>
        <w:ind w:firstLine="460"/>
        <w:rPr>
          <w:rFonts w:ascii="宋体" w:hAnsi="宋体" w:cs="宋体"/>
          <w:sz w:val="24"/>
          <w:szCs w:val="24"/>
        </w:rPr>
      </w:pPr>
      <w:r>
        <w:rPr>
          <w:rFonts w:hint="eastAsia" w:ascii="宋体" w:hAnsi="宋体" w:cs="宋体"/>
          <w:sz w:val="24"/>
          <w:szCs w:val="24"/>
        </w:rPr>
        <w:t>2、售后服务体系</w:t>
      </w:r>
    </w:p>
    <w:p>
      <w:pPr>
        <w:pStyle w:val="26"/>
        <w:spacing w:line="420" w:lineRule="exact"/>
        <w:ind w:firstLine="460"/>
        <w:rPr>
          <w:rFonts w:ascii="宋体" w:hAnsi="宋体" w:cs="宋体"/>
          <w:sz w:val="24"/>
          <w:szCs w:val="24"/>
        </w:rPr>
      </w:pPr>
      <w:r>
        <w:rPr>
          <w:rFonts w:hint="eastAsia" w:ascii="宋体" w:hAnsi="宋体" w:cs="宋体"/>
          <w:sz w:val="24"/>
          <w:szCs w:val="24"/>
        </w:rPr>
        <w:t>2.1.供应商应拥有专业的开发团队，在项目实施前后为用户提供一致的技术支持体验，其中包括技术咨询、实施指导、运行维护和定期回访等，能解决项目运行过程中的技术问题。</w:t>
      </w:r>
    </w:p>
    <w:p>
      <w:pPr>
        <w:pStyle w:val="26"/>
        <w:spacing w:line="420" w:lineRule="exact"/>
        <w:ind w:firstLine="460"/>
        <w:rPr>
          <w:rFonts w:ascii="宋体" w:hAnsi="宋体" w:cs="宋体"/>
          <w:sz w:val="24"/>
          <w:szCs w:val="24"/>
        </w:rPr>
      </w:pPr>
      <w:r>
        <w:rPr>
          <w:rFonts w:hint="eastAsia" w:ascii="宋体" w:hAnsi="宋体" w:cs="宋体"/>
          <w:sz w:val="24"/>
          <w:szCs w:val="24"/>
        </w:rPr>
        <w:t>2.2对项目实行“首问负责制”，即对于采购人所提出的需要解决和服务的问题，只要将该问题对售后服务部门内任何一位员工反映即可得到主动式服务。</w:t>
      </w:r>
    </w:p>
    <w:p>
      <w:pPr>
        <w:pStyle w:val="26"/>
        <w:spacing w:line="420" w:lineRule="exact"/>
        <w:ind w:firstLine="460"/>
        <w:rPr>
          <w:rFonts w:ascii="宋体" w:hAnsi="宋体" w:cs="宋体"/>
          <w:sz w:val="24"/>
          <w:szCs w:val="24"/>
        </w:rPr>
      </w:pPr>
      <w:r>
        <w:rPr>
          <w:rFonts w:hint="eastAsia" w:ascii="宋体" w:hAnsi="宋体" w:cs="宋体"/>
          <w:sz w:val="24"/>
          <w:szCs w:val="24"/>
        </w:rPr>
        <w:t>3、售后服务方式</w:t>
      </w:r>
    </w:p>
    <w:p>
      <w:pPr>
        <w:pStyle w:val="26"/>
        <w:spacing w:line="420" w:lineRule="exact"/>
        <w:ind w:firstLine="460"/>
        <w:rPr>
          <w:rFonts w:ascii="宋体" w:hAnsi="宋体" w:cs="宋体"/>
          <w:sz w:val="24"/>
          <w:szCs w:val="24"/>
        </w:rPr>
      </w:pPr>
      <w:r>
        <w:rPr>
          <w:rFonts w:hint="eastAsia" w:ascii="宋体" w:hAnsi="宋体" w:cs="宋体"/>
          <w:sz w:val="24"/>
          <w:szCs w:val="24"/>
        </w:rPr>
        <w:t xml:space="preserve">3.1.电话支持，为使用方提供 </w:t>
      </w:r>
      <w:r>
        <w:rPr>
          <w:rFonts w:ascii="宋体" w:hAnsi="宋体" w:cs="宋体"/>
          <w:sz w:val="24"/>
          <w:szCs w:val="24"/>
        </w:rPr>
        <w:t>7</w:t>
      </w:r>
      <w:r>
        <w:rPr>
          <w:rFonts w:hint="eastAsia" w:ascii="宋体" w:hAnsi="宋体" w:cs="宋体"/>
          <w:sz w:val="24"/>
          <w:szCs w:val="24"/>
        </w:rPr>
        <w:t>×</w:t>
      </w:r>
      <w:r>
        <w:rPr>
          <w:rFonts w:ascii="宋体" w:hAnsi="宋体" w:cs="宋体"/>
          <w:sz w:val="24"/>
          <w:szCs w:val="24"/>
        </w:rPr>
        <w:t>24</w:t>
      </w:r>
      <w:r>
        <w:rPr>
          <w:rFonts w:hint="eastAsia" w:ascii="宋体" w:hAnsi="宋体" w:cs="宋体"/>
          <w:sz w:val="24"/>
          <w:szCs w:val="24"/>
        </w:rPr>
        <w:t xml:space="preserve"> 小时的全方位服务，除了提供公司的技术服务支持电话外，还应注明项目主要技术成员的移动电话，用于双方及时沟通并解决问题，电话支持即时响应。</w:t>
      </w:r>
    </w:p>
    <w:p>
      <w:pPr>
        <w:pStyle w:val="26"/>
        <w:spacing w:line="420" w:lineRule="exact"/>
        <w:ind w:firstLine="460"/>
        <w:rPr>
          <w:rFonts w:ascii="宋体" w:hAnsi="宋体" w:cs="宋体"/>
          <w:sz w:val="24"/>
          <w:szCs w:val="24"/>
        </w:rPr>
      </w:pPr>
      <w:r>
        <w:rPr>
          <w:rFonts w:hint="eastAsia" w:ascii="宋体" w:hAnsi="宋体" w:cs="宋体"/>
          <w:sz w:val="24"/>
          <w:szCs w:val="24"/>
        </w:rPr>
        <w:t>3.2.现场服务，对于电话不能很好解决及其他必须亲临现场服务的内容，供应商应在第一时间根据具体情况迅速安排人员24小时内快速到达现场提供服务。</w:t>
      </w:r>
    </w:p>
    <w:p>
      <w:pPr>
        <w:pStyle w:val="26"/>
        <w:spacing w:line="420" w:lineRule="exact"/>
        <w:ind w:firstLine="460"/>
        <w:rPr>
          <w:rFonts w:ascii="宋体" w:hAnsi="宋体" w:cs="宋体"/>
          <w:sz w:val="24"/>
          <w:szCs w:val="24"/>
        </w:rPr>
      </w:pPr>
      <w:r>
        <w:rPr>
          <w:rFonts w:hint="eastAsia" w:ascii="宋体" w:hAnsi="宋体" w:cs="宋体"/>
          <w:sz w:val="24"/>
          <w:szCs w:val="24"/>
        </w:rPr>
        <w:t>3.3远程服务，供应商可借助网络工具远程实时维护系统，如 QQ、微信远程协助等功能对采购人系统进行远程实时系统维护及操作指导，帮助采购人快速解决遇到的大多数软件及系统方面的问题。</w:t>
      </w:r>
    </w:p>
    <w:p>
      <w:pPr>
        <w:pStyle w:val="26"/>
        <w:spacing w:line="420" w:lineRule="exact"/>
        <w:ind w:firstLine="460"/>
        <w:rPr>
          <w:rFonts w:ascii="宋体" w:hAnsi="宋体" w:cs="宋体"/>
          <w:sz w:val="24"/>
          <w:szCs w:val="24"/>
        </w:rPr>
      </w:pPr>
      <w:r>
        <w:rPr>
          <w:rFonts w:hint="eastAsia" w:ascii="宋体" w:hAnsi="宋体" w:cs="宋体"/>
          <w:sz w:val="24"/>
          <w:szCs w:val="24"/>
        </w:rPr>
        <w:t>4、售后服务范围</w:t>
      </w:r>
    </w:p>
    <w:p>
      <w:pPr>
        <w:pStyle w:val="26"/>
        <w:spacing w:line="420" w:lineRule="exact"/>
        <w:ind w:firstLine="460"/>
        <w:rPr>
          <w:rFonts w:ascii="宋体" w:hAnsi="宋体" w:cs="宋体"/>
          <w:sz w:val="24"/>
          <w:szCs w:val="24"/>
        </w:rPr>
      </w:pPr>
      <w:r>
        <w:rPr>
          <w:rFonts w:hint="eastAsia" w:ascii="宋体" w:hAnsi="宋体" w:cs="宋体"/>
          <w:sz w:val="24"/>
          <w:szCs w:val="24"/>
        </w:rPr>
        <w:t>4.1.提供相关帮助文档，开展相关培训；</w:t>
      </w:r>
    </w:p>
    <w:p>
      <w:pPr>
        <w:pStyle w:val="26"/>
        <w:spacing w:line="420" w:lineRule="exact"/>
        <w:ind w:firstLine="460"/>
        <w:rPr>
          <w:rFonts w:ascii="宋体" w:hAnsi="宋体" w:cs="宋体"/>
          <w:sz w:val="24"/>
          <w:szCs w:val="24"/>
        </w:rPr>
      </w:pPr>
      <w:r>
        <w:rPr>
          <w:rFonts w:hint="eastAsia" w:ascii="宋体" w:hAnsi="宋体" w:cs="宋体"/>
          <w:sz w:val="24"/>
          <w:szCs w:val="24"/>
        </w:rPr>
        <w:t>4.2.日常运行中的故障排除及维护；系统所处网络环境、主机及其他外设适配带来的调整工作；系统与其他软件适配带来的调整工作；</w:t>
      </w:r>
    </w:p>
    <w:p>
      <w:pPr>
        <w:pStyle w:val="26"/>
        <w:spacing w:line="420" w:lineRule="exact"/>
        <w:ind w:firstLine="460"/>
        <w:rPr>
          <w:rFonts w:ascii="宋体" w:hAnsi="宋体" w:cs="宋体"/>
          <w:sz w:val="24"/>
          <w:szCs w:val="24"/>
        </w:rPr>
      </w:pPr>
      <w:r>
        <w:rPr>
          <w:rFonts w:hint="eastAsia" w:ascii="宋体" w:hAnsi="宋体" w:cs="宋体"/>
          <w:sz w:val="24"/>
          <w:szCs w:val="24"/>
        </w:rPr>
        <w:t>4.3.其他可通过远程协助解决的技术问题；</w:t>
      </w:r>
    </w:p>
    <w:p>
      <w:pPr>
        <w:pStyle w:val="26"/>
        <w:spacing w:line="420" w:lineRule="exact"/>
        <w:ind w:firstLine="460"/>
        <w:rPr>
          <w:rFonts w:hint="eastAsia" w:ascii="宋体" w:hAnsi="宋体" w:cs="宋体"/>
          <w:sz w:val="24"/>
          <w:szCs w:val="24"/>
        </w:rPr>
      </w:pPr>
      <w:r>
        <w:rPr>
          <w:rFonts w:hint="eastAsia" w:ascii="宋体" w:hAnsi="宋体" w:cs="宋体"/>
          <w:sz w:val="24"/>
          <w:szCs w:val="24"/>
        </w:rPr>
        <w:t>5、质保期：供应商应确保本次采购的所有产品安全稳定的运行，并承诺提供3年免费质保服务（自验收报告签字确认日起，开始进入质保期）</w:t>
      </w:r>
    </w:p>
    <w:p>
      <w:pPr>
        <w:pStyle w:val="26"/>
        <w:spacing w:line="420" w:lineRule="exact"/>
        <w:ind w:firstLine="460"/>
        <w:rPr>
          <w:rFonts w:hint="eastAsia" w:ascii="宋体" w:hAnsi="宋体" w:cs="宋体"/>
          <w:b/>
          <w:bCs w:val="0"/>
          <w:sz w:val="24"/>
          <w:szCs w:val="24"/>
        </w:rPr>
      </w:pPr>
      <w:r>
        <w:rPr>
          <w:rFonts w:hint="eastAsia" w:ascii="宋体" w:hAnsi="宋体" w:cs="宋体"/>
          <w:b/>
          <w:bCs w:val="0"/>
          <w:sz w:val="24"/>
          <w:szCs w:val="24"/>
          <w:lang w:val="en-US" w:eastAsia="zh-CN"/>
        </w:rPr>
        <w:t>五、</w:t>
      </w:r>
      <w:r>
        <w:rPr>
          <w:rFonts w:hint="eastAsia" w:ascii="宋体" w:hAnsi="宋体" w:cs="宋体"/>
          <w:b/>
          <w:bCs w:val="0"/>
          <w:sz w:val="24"/>
          <w:szCs w:val="24"/>
        </w:rPr>
        <w:t>报价说明：</w:t>
      </w:r>
    </w:p>
    <w:p>
      <w:pPr>
        <w:pStyle w:val="26"/>
        <w:spacing w:line="420" w:lineRule="exact"/>
        <w:ind w:firstLine="460"/>
        <w:rPr>
          <w:rFonts w:hint="eastAsia" w:ascii="宋体" w:hAnsi="宋体" w:cs="宋体"/>
          <w:sz w:val="24"/>
          <w:szCs w:val="24"/>
        </w:rPr>
      </w:pPr>
      <w:r>
        <w:rPr>
          <w:rFonts w:hint="eastAsia" w:ascii="宋体" w:hAnsi="宋体" w:cs="宋体"/>
          <w:sz w:val="24"/>
          <w:szCs w:val="24"/>
        </w:rPr>
        <w:t>（1）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p>
    <w:p>
      <w:pPr>
        <w:pStyle w:val="26"/>
        <w:spacing w:line="420" w:lineRule="exact"/>
        <w:ind w:firstLine="460"/>
        <w:rPr>
          <w:rFonts w:hint="eastAsia" w:ascii="宋体" w:hAnsi="宋体" w:cs="宋体"/>
          <w:sz w:val="24"/>
          <w:szCs w:val="24"/>
        </w:rPr>
      </w:pPr>
      <w:r>
        <w:rPr>
          <w:rFonts w:hint="eastAsia" w:ascii="宋体" w:hAnsi="宋体" w:cs="宋体"/>
          <w:sz w:val="24"/>
          <w:szCs w:val="24"/>
        </w:rPr>
        <w:t>（2）供应商的任何错漏、优惠、竞争性报价不得作为减轻责任、减少服务、增加收费、降低服务质量的理由。</w:t>
      </w:r>
    </w:p>
    <w:p>
      <w:pPr>
        <w:pStyle w:val="26"/>
        <w:spacing w:line="420" w:lineRule="exact"/>
        <w:ind w:firstLine="460"/>
        <w:rPr>
          <w:rFonts w:hint="eastAsia" w:ascii="宋体" w:hAnsi="宋体" w:cs="宋体"/>
          <w:sz w:val="24"/>
          <w:szCs w:val="24"/>
        </w:rPr>
      </w:pPr>
      <w:r>
        <w:rPr>
          <w:rFonts w:hint="eastAsia" w:ascii="宋体" w:hAnsi="宋体" w:cs="宋体"/>
          <w:sz w:val="24"/>
          <w:szCs w:val="24"/>
        </w:rPr>
        <w:t>（3）供应商报价除包含采购文件中列明的项目外还应包括保障服务正常运行应当具有的物资和服务，对服务正常运行应当具有的物资和服务理解不一致的以采购人理解为准。</w:t>
      </w:r>
    </w:p>
    <w:p>
      <w:pPr>
        <w:pStyle w:val="26"/>
        <w:spacing w:line="420" w:lineRule="exact"/>
        <w:ind w:firstLine="460"/>
        <w:rPr>
          <w:rFonts w:hint="eastAsia" w:ascii="宋体" w:hAnsi="宋体" w:cs="宋体"/>
          <w:sz w:val="24"/>
          <w:szCs w:val="24"/>
        </w:rPr>
      </w:pPr>
      <w:r>
        <w:rPr>
          <w:rFonts w:hint="eastAsia" w:ascii="宋体" w:hAnsi="宋体" w:cs="宋体"/>
          <w:b/>
          <w:bCs w:val="0"/>
          <w:sz w:val="24"/>
          <w:szCs w:val="24"/>
          <w:lang w:val="en-US" w:eastAsia="zh-CN"/>
        </w:rPr>
        <w:t>六</w:t>
      </w:r>
      <w:r>
        <w:rPr>
          <w:rFonts w:hint="eastAsia" w:ascii="宋体" w:hAnsi="宋体" w:cs="宋体"/>
          <w:b/>
          <w:bCs w:val="0"/>
          <w:sz w:val="24"/>
          <w:szCs w:val="24"/>
        </w:rPr>
        <w:t>、付款条件</w:t>
      </w:r>
      <w:r>
        <w:rPr>
          <w:rFonts w:hint="eastAsia" w:ascii="宋体" w:hAnsi="宋体" w:cs="宋体"/>
          <w:sz w:val="24"/>
          <w:szCs w:val="24"/>
        </w:rPr>
        <w:t>：</w:t>
      </w:r>
    </w:p>
    <w:p>
      <w:pPr>
        <w:pStyle w:val="26"/>
        <w:spacing w:line="420" w:lineRule="exact"/>
        <w:ind w:firstLine="460"/>
        <w:rPr>
          <w:rFonts w:hint="eastAsia" w:ascii="宋体" w:hAnsi="宋体" w:cs="宋体"/>
          <w:sz w:val="24"/>
          <w:szCs w:val="24"/>
        </w:rPr>
      </w:pPr>
      <w:r>
        <w:rPr>
          <w:rFonts w:hint="eastAsia" w:ascii="宋体" w:hAnsi="宋体" w:cs="宋体"/>
          <w:sz w:val="24"/>
          <w:szCs w:val="24"/>
        </w:rPr>
        <w:t>（1）履约保证金：不涉及</w:t>
      </w:r>
    </w:p>
    <w:p>
      <w:pPr>
        <w:pStyle w:val="26"/>
        <w:spacing w:line="420" w:lineRule="exact"/>
        <w:ind w:firstLine="460"/>
        <w:rPr>
          <w:rFonts w:hint="eastAsia" w:ascii="宋体" w:hAnsi="宋体" w:eastAsia="宋体" w:cs="宋体"/>
          <w:sz w:val="24"/>
          <w:szCs w:val="24"/>
          <w:lang w:eastAsia="zh-CN"/>
        </w:rPr>
      </w:pPr>
      <w:r>
        <w:rPr>
          <w:rFonts w:hint="eastAsia" w:ascii="宋体" w:hAnsi="宋体" w:cs="宋体"/>
          <w:sz w:val="24"/>
          <w:szCs w:val="24"/>
        </w:rPr>
        <w:t>（2）付款方式：合同签订后付款30%，项目交付完成后付款60%，质保期满一年后付款10%</w:t>
      </w:r>
      <w:r>
        <w:rPr>
          <w:rFonts w:hint="eastAsia" w:ascii="宋体" w:hAnsi="宋体" w:cs="宋体"/>
          <w:sz w:val="24"/>
          <w:szCs w:val="24"/>
          <w:lang w:eastAsia="zh-CN"/>
        </w:rPr>
        <w:t>。</w:t>
      </w:r>
    </w:p>
    <w:p>
      <w:pPr>
        <w:pStyle w:val="8"/>
        <w:jc w:val="center"/>
        <w:rPr>
          <w:rFonts w:hint="eastAsia" w:ascii="宋体" w:hAnsi="宋体" w:eastAsia="宋体" w:cs="宋体"/>
          <w:b/>
          <w:kern w:val="0"/>
          <w:sz w:val="28"/>
          <w:szCs w:val="28"/>
          <w:lang w:val="en-US" w:eastAsia="zh-CN" w:bidi="ar-SA"/>
        </w:rPr>
      </w:pPr>
    </w:p>
    <w:p>
      <w:pPr>
        <w:pStyle w:val="8"/>
        <w:rPr>
          <w:rFonts w:hint="eastAsia" w:eastAsia="楷体_GB2312"/>
          <w:lang w:val="en-US" w:eastAsia="zh-CN"/>
        </w:rPr>
      </w:pPr>
    </w:p>
    <w:sectPr>
      <w:pgSz w:w="11906" w:h="16838"/>
      <w:pgMar w:top="1134" w:right="1701" w:bottom="85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0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B8750"/>
    <w:multiLevelType w:val="singleLevel"/>
    <w:tmpl w:val="B1CB8750"/>
    <w:lvl w:ilvl="0" w:tentative="0">
      <w:start w:val="3"/>
      <w:numFmt w:val="chineseCounting"/>
      <w:suff w:val="nothing"/>
      <w:lvlText w:val="%1、"/>
      <w:lvlJc w:val="left"/>
      <w:rPr>
        <w:rFonts w:hint="eastAsia"/>
      </w:rPr>
    </w:lvl>
  </w:abstractNum>
  <w:abstractNum w:abstractNumId="1">
    <w:nsid w:val="3514CDFC"/>
    <w:multiLevelType w:val="singleLevel"/>
    <w:tmpl w:val="3514CDFC"/>
    <w:lvl w:ilvl="0" w:tentative="0">
      <w:start w:val="2"/>
      <w:numFmt w:val="chineseCounting"/>
      <w:suff w:val="nothing"/>
      <w:lvlText w:val="（%1）"/>
      <w:lvlJc w:val="left"/>
      <w:rPr>
        <w:rFonts w:hint="eastAsia"/>
      </w:rPr>
    </w:lvl>
  </w:abstractNum>
  <w:abstractNum w:abstractNumId="2">
    <w:nsid w:val="374F01DF"/>
    <w:multiLevelType w:val="multilevel"/>
    <w:tmpl w:val="374F01DF"/>
    <w:lvl w:ilvl="0" w:tentative="0">
      <w:start w:val="1"/>
      <w:numFmt w:val="japaneseCounting"/>
      <w:lvlText w:val="第%1章"/>
      <w:lvlJc w:val="left"/>
      <w:pPr>
        <w:ind w:left="1215" w:hanging="12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C7E052A"/>
    <w:multiLevelType w:val="multilevel"/>
    <w:tmpl w:val="5C7E052A"/>
    <w:lvl w:ilvl="0" w:tentative="0">
      <w:start w:val="1"/>
      <w:numFmt w:val="chineseCountingThousand"/>
      <w:lvlText w:val="%1、"/>
      <w:lvlJc w:val="left"/>
      <w:pPr>
        <w:ind w:left="425" w:hanging="425"/>
      </w:pPr>
      <w:rPr>
        <w:rFonts w:hint="eastAsia"/>
        <w:color w:val="auto"/>
      </w:rPr>
    </w:lvl>
    <w:lvl w:ilvl="1" w:tentative="0">
      <w:start w:val="1"/>
      <w:numFmt w:val="decimal"/>
      <w:isLgl/>
      <w:lvlText w:val="%1.%2"/>
      <w:lvlJc w:val="left"/>
      <w:pPr>
        <w:ind w:left="397" w:hanging="397"/>
      </w:pPr>
      <w:rPr>
        <w:rFonts w:hint="eastAsia"/>
      </w:rPr>
    </w:lvl>
    <w:lvl w:ilvl="2" w:tentative="0">
      <w:start w:val="1"/>
      <w:numFmt w:val="chineseCountingThousand"/>
      <w:pStyle w:val="6"/>
      <w:isLgl/>
      <w:lvlText w:val="%1.%2.%3"/>
      <w:lvlJc w:val="left"/>
      <w:pPr>
        <w:tabs>
          <w:tab w:val="left" w:pos="794"/>
        </w:tabs>
        <w:ind w:left="397" w:hanging="397"/>
      </w:pPr>
      <w:rPr>
        <w:rFonts w:hint="eastAsia"/>
      </w:rPr>
    </w:lvl>
    <w:lvl w:ilvl="3" w:tentative="0">
      <w:start w:val="1"/>
      <w:numFmt w:val="decimal"/>
      <w:isLgl/>
      <w:lvlText w:val="%1.%2.%3.%4"/>
      <w:lvlJc w:val="left"/>
      <w:pPr>
        <w:ind w:left="397" w:hanging="397"/>
      </w:pPr>
      <w:rPr>
        <w:rFonts w:hint="eastAsia"/>
      </w:rPr>
    </w:lvl>
    <w:lvl w:ilvl="4" w:tentative="0">
      <w:start w:val="1"/>
      <w:numFmt w:val="decimal"/>
      <w:isLgl/>
      <w:lvlText w:val="%1.%2.%3.%4.%5"/>
      <w:lvlJc w:val="left"/>
      <w:pPr>
        <w:ind w:left="397" w:hanging="397"/>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lZTI1ODkxODExYjhkM2ZlMWZhMzcxOTM0MzJmM2YifQ=="/>
  </w:docVars>
  <w:rsids>
    <w:rsidRoot w:val="001D01BD"/>
    <w:rsid w:val="00026349"/>
    <w:rsid w:val="00030F32"/>
    <w:rsid w:val="00050FC1"/>
    <w:rsid w:val="000D3667"/>
    <w:rsid w:val="000D55BA"/>
    <w:rsid w:val="00100D7D"/>
    <w:rsid w:val="0010674D"/>
    <w:rsid w:val="00125802"/>
    <w:rsid w:val="00127C60"/>
    <w:rsid w:val="001455FB"/>
    <w:rsid w:val="00150B50"/>
    <w:rsid w:val="001533FC"/>
    <w:rsid w:val="00174439"/>
    <w:rsid w:val="001A6744"/>
    <w:rsid w:val="001C471A"/>
    <w:rsid w:val="001C52C2"/>
    <w:rsid w:val="001D01BD"/>
    <w:rsid w:val="001D717A"/>
    <w:rsid w:val="00210D97"/>
    <w:rsid w:val="00220B06"/>
    <w:rsid w:val="00271742"/>
    <w:rsid w:val="00295CA5"/>
    <w:rsid w:val="002C318E"/>
    <w:rsid w:val="002D1642"/>
    <w:rsid w:val="002D7824"/>
    <w:rsid w:val="002F677F"/>
    <w:rsid w:val="00354444"/>
    <w:rsid w:val="00396053"/>
    <w:rsid w:val="003964EF"/>
    <w:rsid w:val="003B3CD5"/>
    <w:rsid w:val="003B557B"/>
    <w:rsid w:val="003C53EF"/>
    <w:rsid w:val="003E5DAA"/>
    <w:rsid w:val="004060CC"/>
    <w:rsid w:val="00407202"/>
    <w:rsid w:val="00426BF6"/>
    <w:rsid w:val="00443342"/>
    <w:rsid w:val="004612F6"/>
    <w:rsid w:val="004627CE"/>
    <w:rsid w:val="00492D7A"/>
    <w:rsid w:val="00497B2A"/>
    <w:rsid w:val="004A7281"/>
    <w:rsid w:val="00517A88"/>
    <w:rsid w:val="005400B1"/>
    <w:rsid w:val="005770D8"/>
    <w:rsid w:val="005C6AA8"/>
    <w:rsid w:val="005E7321"/>
    <w:rsid w:val="00601A96"/>
    <w:rsid w:val="00603A81"/>
    <w:rsid w:val="00606A42"/>
    <w:rsid w:val="006154DA"/>
    <w:rsid w:val="0064623B"/>
    <w:rsid w:val="006521CA"/>
    <w:rsid w:val="00662311"/>
    <w:rsid w:val="006A611E"/>
    <w:rsid w:val="006C3FEA"/>
    <w:rsid w:val="006D03D6"/>
    <w:rsid w:val="00701F0A"/>
    <w:rsid w:val="00756EC5"/>
    <w:rsid w:val="00780935"/>
    <w:rsid w:val="007F1D42"/>
    <w:rsid w:val="007F4943"/>
    <w:rsid w:val="00803075"/>
    <w:rsid w:val="008310F4"/>
    <w:rsid w:val="00842B4C"/>
    <w:rsid w:val="008730BD"/>
    <w:rsid w:val="0087659C"/>
    <w:rsid w:val="008B50E1"/>
    <w:rsid w:val="008D50AB"/>
    <w:rsid w:val="0090613E"/>
    <w:rsid w:val="009171F0"/>
    <w:rsid w:val="00930C42"/>
    <w:rsid w:val="0096076C"/>
    <w:rsid w:val="009671F9"/>
    <w:rsid w:val="0097457E"/>
    <w:rsid w:val="009A6EAF"/>
    <w:rsid w:val="009C1484"/>
    <w:rsid w:val="00A73FB0"/>
    <w:rsid w:val="00AA7369"/>
    <w:rsid w:val="00AB018F"/>
    <w:rsid w:val="00AF36D8"/>
    <w:rsid w:val="00B00AA0"/>
    <w:rsid w:val="00B22FB1"/>
    <w:rsid w:val="00B73265"/>
    <w:rsid w:val="00B77468"/>
    <w:rsid w:val="00C13E3C"/>
    <w:rsid w:val="00C2167D"/>
    <w:rsid w:val="00C42CED"/>
    <w:rsid w:val="00C600AD"/>
    <w:rsid w:val="00C96D1C"/>
    <w:rsid w:val="00CA7EB5"/>
    <w:rsid w:val="00CB516C"/>
    <w:rsid w:val="00CB5C89"/>
    <w:rsid w:val="00CC1790"/>
    <w:rsid w:val="00CC20CC"/>
    <w:rsid w:val="00CD3DE3"/>
    <w:rsid w:val="00CF1A81"/>
    <w:rsid w:val="00D34FEC"/>
    <w:rsid w:val="00D41C12"/>
    <w:rsid w:val="00D44375"/>
    <w:rsid w:val="00D56296"/>
    <w:rsid w:val="00D665A8"/>
    <w:rsid w:val="00D72E5D"/>
    <w:rsid w:val="00D918E8"/>
    <w:rsid w:val="00DC3B07"/>
    <w:rsid w:val="00DC6DFC"/>
    <w:rsid w:val="00DD63E3"/>
    <w:rsid w:val="00DD65BB"/>
    <w:rsid w:val="00DF0D4A"/>
    <w:rsid w:val="00E322E9"/>
    <w:rsid w:val="00E54901"/>
    <w:rsid w:val="00E73D3B"/>
    <w:rsid w:val="00E8415E"/>
    <w:rsid w:val="00EA2283"/>
    <w:rsid w:val="00EC3904"/>
    <w:rsid w:val="00EE22B5"/>
    <w:rsid w:val="00F02071"/>
    <w:rsid w:val="00F06928"/>
    <w:rsid w:val="00F37A54"/>
    <w:rsid w:val="00F77940"/>
    <w:rsid w:val="00FA1EF5"/>
    <w:rsid w:val="00FB7872"/>
    <w:rsid w:val="0118514A"/>
    <w:rsid w:val="02FF41F8"/>
    <w:rsid w:val="05700B87"/>
    <w:rsid w:val="0A705385"/>
    <w:rsid w:val="0D782A7C"/>
    <w:rsid w:val="10FA4306"/>
    <w:rsid w:val="12821ED9"/>
    <w:rsid w:val="12CD72A7"/>
    <w:rsid w:val="151A1508"/>
    <w:rsid w:val="15525935"/>
    <w:rsid w:val="17005FBC"/>
    <w:rsid w:val="176075D7"/>
    <w:rsid w:val="19EF52D8"/>
    <w:rsid w:val="1BCF0653"/>
    <w:rsid w:val="1DF51CE6"/>
    <w:rsid w:val="1DF8560E"/>
    <w:rsid w:val="1F0423C1"/>
    <w:rsid w:val="20FF6A95"/>
    <w:rsid w:val="220015D2"/>
    <w:rsid w:val="224B705D"/>
    <w:rsid w:val="248B078C"/>
    <w:rsid w:val="249A1B4E"/>
    <w:rsid w:val="253E5F25"/>
    <w:rsid w:val="2604539D"/>
    <w:rsid w:val="26AD3F9C"/>
    <w:rsid w:val="29023D0F"/>
    <w:rsid w:val="2C3B438B"/>
    <w:rsid w:val="2D076076"/>
    <w:rsid w:val="2D637717"/>
    <w:rsid w:val="30662EDC"/>
    <w:rsid w:val="34F5482E"/>
    <w:rsid w:val="358627D0"/>
    <w:rsid w:val="377415C4"/>
    <w:rsid w:val="39886A9F"/>
    <w:rsid w:val="3E337180"/>
    <w:rsid w:val="42A76F80"/>
    <w:rsid w:val="43E0128D"/>
    <w:rsid w:val="443F1892"/>
    <w:rsid w:val="4473751E"/>
    <w:rsid w:val="44895441"/>
    <w:rsid w:val="450C2B54"/>
    <w:rsid w:val="486A6E89"/>
    <w:rsid w:val="491446BA"/>
    <w:rsid w:val="4A083D2C"/>
    <w:rsid w:val="4A5A760D"/>
    <w:rsid w:val="4D4128AF"/>
    <w:rsid w:val="4E9B75F2"/>
    <w:rsid w:val="4EA14C89"/>
    <w:rsid w:val="51295B34"/>
    <w:rsid w:val="544E6B34"/>
    <w:rsid w:val="565D1DD7"/>
    <w:rsid w:val="56BC3242"/>
    <w:rsid w:val="5A1E6A6C"/>
    <w:rsid w:val="5B846B77"/>
    <w:rsid w:val="5FAE5769"/>
    <w:rsid w:val="628C5F22"/>
    <w:rsid w:val="66190B98"/>
    <w:rsid w:val="66E7627F"/>
    <w:rsid w:val="6764271C"/>
    <w:rsid w:val="681F6A8B"/>
    <w:rsid w:val="69B1172D"/>
    <w:rsid w:val="6BE75F78"/>
    <w:rsid w:val="6CBF0CA2"/>
    <w:rsid w:val="6DC15D38"/>
    <w:rsid w:val="6F410095"/>
    <w:rsid w:val="70484351"/>
    <w:rsid w:val="708B7819"/>
    <w:rsid w:val="731A162D"/>
    <w:rsid w:val="73314EEC"/>
    <w:rsid w:val="73397A01"/>
    <w:rsid w:val="73A85F67"/>
    <w:rsid w:val="74BC6ADF"/>
    <w:rsid w:val="755B70CF"/>
    <w:rsid w:val="75BC2223"/>
    <w:rsid w:val="77CC1A02"/>
    <w:rsid w:val="77F373ED"/>
    <w:rsid w:val="7828099D"/>
    <w:rsid w:val="783C435B"/>
    <w:rsid w:val="787B0173"/>
    <w:rsid w:val="797F1EE5"/>
    <w:rsid w:val="79955265"/>
    <w:rsid w:val="7B78035F"/>
    <w:rsid w:val="7DA704BC"/>
    <w:rsid w:val="7E93028B"/>
    <w:rsid w:val="7F73169E"/>
    <w:rsid w:val="7F7A1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kern w:val="2"/>
      <w:sz w:val="21"/>
      <w:szCs w:val="22"/>
      <w:lang w:val="en-US" w:eastAsia="zh-CN" w:bidi="ar-SA"/>
    </w:rPr>
  </w:style>
  <w:style w:type="paragraph" w:styleId="3">
    <w:name w:val="heading 2"/>
    <w:basedOn w:val="1"/>
    <w:next w:val="4"/>
    <w:qFormat/>
    <w:uiPriority w:val="0"/>
    <w:pPr>
      <w:keepNext/>
      <w:keepLines/>
      <w:tabs>
        <w:tab w:val="left" w:pos="432"/>
      </w:tabs>
      <w:spacing w:line="360" w:lineRule="auto"/>
      <w:ind w:left="432" w:hanging="432"/>
      <w:outlineLvl w:val="1"/>
    </w:pPr>
    <w:rPr>
      <w:rFonts w:ascii="仿宋_GB2312" w:hAnsi="仿宋" w:eastAsia="仿宋_GB2312"/>
      <w:b/>
      <w:bCs/>
      <w:sz w:val="32"/>
      <w:szCs w:val="32"/>
      <w:lang w:val="zh-CN"/>
    </w:rPr>
  </w:style>
  <w:style w:type="paragraph" w:styleId="6">
    <w:name w:val="heading 3"/>
    <w:basedOn w:val="1"/>
    <w:next w:val="1"/>
    <w:unhideWhenUsed/>
    <w:qFormat/>
    <w:uiPriority w:val="0"/>
    <w:pPr>
      <w:keepNext/>
      <w:keepLines/>
      <w:numPr>
        <w:ilvl w:val="2"/>
        <w:numId w:val="1"/>
      </w:numPr>
      <w:spacing w:before="20" w:after="20"/>
      <w:outlineLvl w:val="2"/>
    </w:pPr>
    <w:rPr>
      <w:rFonts w:ascii="Arial" w:hAnsi="Arial" w:eastAsia="黑体"/>
      <w:b/>
      <w:bCs/>
      <w:sz w:val="30"/>
      <w:szCs w:val="3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customStyle="1" w:styleId="2">
    <w:name w:val="正文1"/>
    <w:basedOn w:val="1"/>
    <w:qFormat/>
    <w:uiPriority w:val="0"/>
    <w:pPr>
      <w:spacing w:line="318" w:lineRule="atLeast"/>
      <w:ind w:left="369" w:firstLine="369"/>
    </w:pPr>
    <w:rPr>
      <w:rFonts w:ascii="宋体"/>
    </w:rPr>
  </w:style>
  <w:style w:type="paragraph" w:styleId="4">
    <w:name w:val="Normal Indent"/>
    <w:basedOn w:val="1"/>
    <w:next w:val="5"/>
    <w:qFormat/>
    <w:uiPriority w:val="99"/>
    <w:pPr>
      <w:ind w:firstLine="200" w:firstLineChars="200"/>
    </w:pPr>
    <w:rPr>
      <w:szCs w:val="20"/>
    </w:rPr>
  </w:style>
  <w:style w:type="paragraph" w:styleId="5">
    <w:name w:val="Body Text Indent"/>
    <w:basedOn w:val="1"/>
    <w:next w:val="4"/>
    <w:qFormat/>
    <w:uiPriority w:val="0"/>
    <w:pPr>
      <w:spacing w:line="480" w:lineRule="exact"/>
      <w:ind w:firstLine="480" w:firstLineChars="200"/>
    </w:pPr>
    <w:rPr>
      <w:rFonts w:ascii="宋体" w:hAnsi="宋体"/>
      <w:sz w:val="24"/>
    </w:rPr>
  </w:style>
  <w:style w:type="paragraph" w:styleId="7">
    <w:name w:val="annotation text"/>
    <w:basedOn w:val="1"/>
    <w:semiHidden/>
    <w:unhideWhenUsed/>
    <w:qFormat/>
    <w:uiPriority w:val="99"/>
  </w:style>
  <w:style w:type="paragraph" w:styleId="8">
    <w:name w:val="Body Text"/>
    <w:basedOn w:val="1"/>
    <w:next w:val="9"/>
    <w:qFormat/>
    <w:uiPriority w:val="0"/>
    <w:rPr>
      <w:rFonts w:ascii="楷体_GB2312" w:hAnsi="Arial" w:eastAsia="楷体_GB2312"/>
      <w:sz w:val="28"/>
      <w:szCs w:val="28"/>
    </w:rPr>
  </w:style>
  <w:style w:type="paragraph" w:styleId="9">
    <w:name w:val="Body Text First Indent"/>
    <w:basedOn w:val="8"/>
    <w:next w:val="10"/>
    <w:qFormat/>
    <w:uiPriority w:val="0"/>
    <w:pPr>
      <w:tabs>
        <w:tab w:val="left" w:pos="208"/>
      </w:tabs>
      <w:spacing w:after="120"/>
      <w:ind w:firstLine="420" w:firstLineChars="100"/>
    </w:pPr>
    <w:rPr>
      <w:rFonts w:ascii="Times New Roman" w:eastAsia="宋体"/>
      <w:sz w:val="21"/>
    </w:rPr>
  </w:style>
  <w:style w:type="paragraph" w:styleId="10">
    <w:name w:val="toc 6"/>
    <w:basedOn w:val="1"/>
    <w:next w:val="1"/>
    <w:unhideWhenUsed/>
    <w:qFormat/>
    <w:uiPriority w:val="39"/>
    <w:pPr>
      <w:ind w:left="1050" w:leftChars="100" w:firstLine="200" w:firstLineChars="200"/>
    </w:pPr>
    <w:rPr>
      <w:sz w:val="20"/>
      <w:szCs w:val="20"/>
    </w:rPr>
  </w:style>
  <w:style w:type="paragraph" w:styleId="11">
    <w:name w:val="Block Text"/>
    <w:basedOn w:val="1"/>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12">
    <w:name w:val="index 4"/>
    <w:basedOn w:val="1"/>
    <w:next w:val="1"/>
    <w:qFormat/>
    <w:uiPriority w:val="0"/>
    <w:pPr>
      <w:ind w:left="600" w:leftChars="600"/>
    </w:pPr>
    <w:rPr>
      <w:rFonts w:eastAsia="仿宋_GB2312"/>
      <w:sz w:val="24"/>
    </w:rPr>
  </w:style>
  <w:style w:type="paragraph" w:styleId="13">
    <w:name w:val="Plain Text"/>
    <w:basedOn w:val="1"/>
    <w:next w:val="1"/>
    <w:qFormat/>
    <w:uiPriority w:val="0"/>
    <w:pPr>
      <w:ind w:firstLine="200" w:firstLineChars="200"/>
    </w:pPr>
    <w:rPr>
      <w:rFonts w:ascii="宋体" w:hAnsi="Courier New" w:eastAsia="华文中宋" w:cs="Courier New"/>
      <w:szCs w:val="21"/>
    </w:rPr>
  </w:style>
  <w:style w:type="paragraph" w:styleId="14">
    <w:name w:val="Body Text Indent 2"/>
    <w:basedOn w:val="1"/>
    <w:next w:val="15"/>
    <w:qFormat/>
    <w:uiPriority w:val="0"/>
    <w:pPr>
      <w:spacing w:line="360" w:lineRule="auto"/>
      <w:ind w:firstLine="601"/>
      <w:textAlignment w:val="baseline"/>
    </w:pPr>
    <w:rPr>
      <w:rFonts w:ascii="宋体"/>
      <w:kern w:val="0"/>
      <w:sz w:val="28"/>
      <w:szCs w:val="20"/>
    </w:rPr>
  </w:style>
  <w:style w:type="paragraph" w:styleId="15">
    <w:name w:val="toc 1"/>
    <w:basedOn w:val="1"/>
    <w:next w:val="1"/>
    <w:qFormat/>
    <w:uiPriority w:val="0"/>
  </w:style>
  <w:style w:type="paragraph" w:styleId="16">
    <w:name w:val="Balloon Text"/>
    <w:basedOn w:val="1"/>
    <w:link w:val="38"/>
    <w:semiHidden/>
    <w:unhideWhenUsed/>
    <w:qFormat/>
    <w:uiPriority w:val="99"/>
    <w:rPr>
      <w:sz w:val="18"/>
      <w:szCs w:val="18"/>
    </w:rPr>
  </w:style>
  <w:style w:type="paragraph" w:styleId="17">
    <w:name w:val="footer"/>
    <w:basedOn w:val="1"/>
    <w:link w:val="28"/>
    <w:unhideWhenUsed/>
    <w:qFormat/>
    <w:uiPriority w:val="99"/>
    <w:pPr>
      <w:tabs>
        <w:tab w:val="center" w:pos="4153"/>
        <w:tab w:val="right" w:pos="8306"/>
      </w:tabs>
      <w:snapToGrid w:val="0"/>
    </w:pPr>
    <w:rPr>
      <w:sz w:val="18"/>
      <w:szCs w:val="18"/>
    </w:rPr>
  </w:style>
  <w:style w:type="paragraph" w:styleId="18">
    <w:name w:val="header"/>
    <w:basedOn w:val="1"/>
    <w:next w:val="14"/>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Normal (Web)"/>
    <w:basedOn w:val="1"/>
    <w:unhideWhenUsed/>
    <w:qFormat/>
    <w:uiPriority w:val="99"/>
    <w:pPr>
      <w:spacing w:before="100" w:beforeAutospacing="1" w:after="100" w:afterAutospacing="1"/>
    </w:pPr>
    <w:rPr>
      <w:rFonts w:ascii="宋体" w:hAnsi="宋体" w:cs="宋体"/>
      <w:kern w:val="0"/>
      <w:sz w:val="24"/>
      <w:szCs w:val="24"/>
    </w:rPr>
  </w:style>
  <w:style w:type="paragraph" w:styleId="20">
    <w:name w:val="Title"/>
    <w:basedOn w:val="1"/>
    <w:next w:val="1"/>
    <w:qFormat/>
    <w:uiPriority w:val="0"/>
    <w:pPr>
      <w:spacing w:line="240" w:lineRule="atLeast"/>
      <w:jc w:val="center"/>
    </w:pPr>
    <w:rPr>
      <w:b/>
      <w:kern w:val="0"/>
      <w:sz w:val="30"/>
    </w:rPr>
  </w:style>
  <w:style w:type="table" w:styleId="22">
    <w:name w:val="Table Grid"/>
    <w:basedOn w:val="21"/>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semiHidden/>
    <w:unhideWhenUsed/>
    <w:qFormat/>
    <w:uiPriority w:val="99"/>
    <w:rPr>
      <w:color w:val="0000FF"/>
      <w:u w:val="single"/>
    </w:rPr>
  </w:style>
  <w:style w:type="character" w:styleId="25">
    <w:name w:val="annotation reference"/>
    <w:basedOn w:val="23"/>
    <w:semiHidden/>
    <w:unhideWhenUsed/>
    <w:qFormat/>
    <w:uiPriority w:val="99"/>
    <w:rPr>
      <w:sz w:val="21"/>
      <w:szCs w:val="21"/>
    </w:rPr>
  </w:style>
  <w:style w:type="paragraph" w:customStyle="1" w:styleId="26">
    <w:name w:val="表格文字"/>
    <w:basedOn w:val="13"/>
    <w:next w:val="8"/>
    <w:qFormat/>
    <w:uiPriority w:val="0"/>
    <w:pPr>
      <w:spacing w:before="25" w:after="25"/>
    </w:pPr>
    <w:rPr>
      <w:rFonts w:ascii="Times New Roman" w:hAnsi="Times New Roman" w:eastAsia="宋体" w:cs="Times New Roman"/>
      <w:bCs/>
      <w:spacing w:val="10"/>
      <w:kern w:val="0"/>
    </w:rPr>
  </w:style>
  <w:style w:type="character" w:customStyle="1" w:styleId="27">
    <w:name w:val="页眉 字符"/>
    <w:basedOn w:val="23"/>
    <w:link w:val="18"/>
    <w:qFormat/>
    <w:uiPriority w:val="99"/>
    <w:rPr>
      <w:sz w:val="18"/>
      <w:szCs w:val="18"/>
    </w:rPr>
  </w:style>
  <w:style w:type="character" w:customStyle="1" w:styleId="28">
    <w:name w:val="页脚 字符"/>
    <w:basedOn w:val="23"/>
    <w:link w:val="17"/>
    <w:qFormat/>
    <w:uiPriority w:val="99"/>
    <w:rPr>
      <w:sz w:val="18"/>
      <w:szCs w:val="18"/>
    </w:rPr>
  </w:style>
  <w:style w:type="character" w:customStyle="1" w:styleId="29">
    <w:name w:val="列表段落 字符"/>
    <w:link w:val="30"/>
    <w:qFormat/>
    <w:uiPriority w:val="34"/>
    <w:rPr>
      <w:sz w:val="24"/>
      <w:szCs w:val="24"/>
    </w:rPr>
  </w:style>
  <w:style w:type="paragraph" w:customStyle="1" w:styleId="30">
    <w:name w:val="列出段落1"/>
    <w:basedOn w:val="1"/>
    <w:link w:val="29"/>
    <w:qFormat/>
    <w:uiPriority w:val="34"/>
    <w:pPr>
      <w:spacing w:line="360" w:lineRule="auto"/>
      <w:ind w:firstLine="420" w:firstLineChars="200"/>
    </w:pPr>
    <w:rPr>
      <w:rFonts w:asciiTheme="minorHAnsi" w:hAnsiTheme="minorHAnsi" w:eastAsiaTheme="minorEastAsia" w:cstheme="minorBidi"/>
      <w:sz w:val="24"/>
      <w:szCs w:val="24"/>
    </w:rPr>
  </w:style>
  <w:style w:type="paragraph" w:customStyle="1" w:styleId="31">
    <w:name w:val="样式 首行缩进:  2.25 字符"/>
    <w:basedOn w:val="1"/>
    <w:qFormat/>
    <w:uiPriority w:val="0"/>
    <w:pPr>
      <w:spacing w:line="360" w:lineRule="auto"/>
      <w:ind w:firstLine="225" w:firstLineChars="225"/>
    </w:pPr>
    <w:rPr>
      <w:rFonts w:cs="宋体"/>
      <w:sz w:val="24"/>
      <w:szCs w:val="20"/>
    </w:rPr>
  </w:style>
  <w:style w:type="paragraph" w:customStyle="1" w:styleId="32">
    <w:name w:val="列出段落2"/>
    <w:basedOn w:val="1"/>
    <w:qFormat/>
    <w:uiPriority w:val="34"/>
    <w:pPr>
      <w:ind w:firstLine="420" w:firstLineChars="200"/>
    </w:pPr>
    <w:rPr>
      <w:rFonts w:ascii="Times New Roman" w:hAnsi="Times New Roman"/>
      <w:szCs w:val="24"/>
    </w:rPr>
  </w:style>
  <w:style w:type="paragraph" w:customStyle="1" w:styleId="33">
    <w:name w:val="_Style 4"/>
    <w:basedOn w:val="1"/>
    <w:qFormat/>
    <w:uiPriority w:val="99"/>
    <w:pPr>
      <w:ind w:firstLine="420" w:firstLineChars="200"/>
    </w:pPr>
  </w:style>
  <w:style w:type="paragraph" w:styleId="34">
    <w:name w:val="List Paragraph"/>
    <w:basedOn w:val="1"/>
    <w:qFormat/>
    <w:uiPriority w:val="34"/>
    <w:pPr>
      <w:ind w:firstLine="420" w:firstLineChars="200"/>
    </w:pPr>
  </w:style>
  <w:style w:type="paragraph" w:customStyle="1" w:styleId="35">
    <w:name w:val="方案正文"/>
    <w:basedOn w:val="1"/>
    <w:qFormat/>
    <w:uiPriority w:val="0"/>
    <w:pPr>
      <w:spacing w:before="120" w:line="360" w:lineRule="auto"/>
      <w:ind w:firstLine="425" w:firstLineChars="177"/>
    </w:pPr>
    <w:rPr>
      <w:rFonts w:ascii="华文细黑" w:hAnsi="华文细黑" w:eastAsia="华文细黑"/>
      <w:sz w:val="24"/>
      <w:szCs w:val="24"/>
    </w:rPr>
  </w:style>
  <w:style w:type="paragraph" w:styleId="36">
    <w:name w:val="No Spacing"/>
    <w:qFormat/>
    <w:uiPriority w:val="1"/>
    <w:pPr>
      <w:widowControl w:val="0"/>
      <w:snapToGrid w:val="0"/>
    </w:pPr>
    <w:rPr>
      <w:rFonts w:ascii="Calibri" w:hAnsi="Calibri" w:eastAsia="微软雅黑" w:cs="Times New Roman"/>
      <w:kern w:val="2"/>
      <w:sz w:val="24"/>
      <w:szCs w:val="21"/>
      <w:lang w:val="en-US" w:eastAsia="zh-CN" w:bidi="ar-SA"/>
    </w:rPr>
  </w:style>
  <w:style w:type="paragraph" w:customStyle="1" w:styleId="37">
    <w:name w:val="列表段落1"/>
    <w:basedOn w:val="1"/>
    <w:qFormat/>
    <w:uiPriority w:val="34"/>
    <w:pPr>
      <w:ind w:firstLine="420" w:firstLineChars="200"/>
    </w:pPr>
    <w:rPr>
      <w:szCs w:val="24"/>
    </w:rPr>
  </w:style>
  <w:style w:type="character" w:customStyle="1" w:styleId="38">
    <w:name w:val="批注框文本 字符"/>
    <w:basedOn w:val="23"/>
    <w:link w:val="16"/>
    <w:semiHidden/>
    <w:qFormat/>
    <w:uiPriority w:val="99"/>
    <w:rPr>
      <w:rFonts w:ascii="Calibri" w:hAnsi="Calibri" w:eastAsia="宋体" w:cs="Times New Roman"/>
      <w:kern w:val="2"/>
      <w:sz w:val="18"/>
      <w:szCs w:val="18"/>
    </w:rPr>
  </w:style>
  <w:style w:type="paragraph" w:customStyle="1" w:styleId="39">
    <w:name w:val="修订1"/>
    <w:hidden/>
    <w:semiHidden/>
    <w:qFormat/>
    <w:uiPriority w:val="99"/>
    <w:rPr>
      <w:rFonts w:ascii="Calibri" w:hAnsi="Calibri" w:eastAsia="宋体" w:cs="Times New Roman"/>
      <w:kern w:val="2"/>
      <w:sz w:val="21"/>
      <w:szCs w:val="22"/>
      <w:lang w:val="en-US" w:eastAsia="zh-CN" w:bidi="ar-SA"/>
    </w:rPr>
  </w:style>
  <w:style w:type="paragraph" w:customStyle="1" w:styleId="40">
    <w:name w:val="_正文"/>
    <w:basedOn w:val="1"/>
    <w:qFormat/>
    <w:uiPriority w:val="0"/>
    <w:pPr>
      <w:ind w:firstLine="200" w:firstLineChars="200"/>
    </w:pPr>
    <w:rPr>
      <w:kern w:val="0"/>
    </w:rPr>
  </w:style>
  <w:style w:type="paragraph" w:customStyle="1" w:styleId="41">
    <w:name w:val="_Style 429"/>
    <w:basedOn w:val="1"/>
    <w:next w:val="34"/>
    <w:qFormat/>
    <w:uiPriority w:val="1"/>
    <w:pPr>
      <w:ind w:firstLine="420" w:firstLineChars="200"/>
    </w:pPr>
    <w:rPr>
      <w:rFonts w:eastAsia="Calibri"/>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3511</Words>
  <Characters>3664</Characters>
  <Lines>18</Lines>
  <Paragraphs>5</Paragraphs>
  <TotalTime>12</TotalTime>
  <ScaleCrop>false</ScaleCrop>
  <LinksUpToDate>false</LinksUpToDate>
  <CharactersWithSpaces>3713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2023-05-15T10:22:00Z</dcterms:created>
  <dc:creator>office51</dc:creator>
  <cp:lastModifiedBy>小暖</cp:lastModifiedBy>
  <cp:lastPrinted>2023-05-22T01:12:23Z</cp:lastPrinted>
  <dcterms:modified xsi:type="dcterms:W3CDTF">2023-05-22T02:22:14Z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0C196A87F46D44328EB3D34CF7191201_13</vt:lpwstr>
  </property>
</Properties>
</file>