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333333"/>
          <w:kern w:val="0"/>
          <w:szCs w:val="21"/>
        </w:rPr>
      </w:pPr>
      <w:r>
        <w:rPr>
          <w:rFonts w:hint="eastAsia" w:ascii="宋体" w:hAnsi="宋体" w:cs="宋体"/>
          <w:color w:val="333333"/>
          <w:kern w:val="0"/>
          <w:szCs w:val="21"/>
        </w:rPr>
        <w:t>附件：</w:t>
      </w:r>
    </w:p>
    <w:p>
      <w:pPr>
        <w:pStyle w:val="20"/>
      </w:pPr>
    </w:p>
    <w:p>
      <w:pPr>
        <w:pStyle w:val="13"/>
        <w:numPr>
          <w:ilvl w:val="0"/>
          <w:numId w:val="2"/>
        </w:numPr>
        <w:ind w:leftChars="0"/>
        <w:jc w:val="center"/>
        <w:rPr>
          <w:rFonts w:ascii="宋体" w:hAnsi="宋体" w:eastAsia="宋体" w:cs="宋体"/>
          <w:b/>
          <w:kern w:val="0"/>
          <w:szCs w:val="24"/>
        </w:rPr>
      </w:pPr>
      <w:r>
        <w:rPr>
          <w:rFonts w:hint="eastAsia" w:ascii="宋体" w:hAnsi="宋体" w:eastAsia="宋体" w:cs="宋体"/>
          <w:b/>
          <w:kern w:val="0"/>
          <w:szCs w:val="24"/>
        </w:rPr>
        <w:t>论证邀请</w:t>
      </w:r>
    </w:p>
    <w:p/>
    <w:p>
      <w:pPr>
        <w:pStyle w:val="20"/>
      </w:pPr>
    </w:p>
    <w:p>
      <w:pPr>
        <w:spacing w:line="360" w:lineRule="auto"/>
        <w:ind w:firstLine="420" w:firstLineChars="200"/>
        <w:rPr>
          <w:rFonts w:ascii="宋体" w:hAnsi="宋体" w:cs="宋体"/>
          <w:kern w:val="0"/>
          <w:szCs w:val="21"/>
        </w:rPr>
      </w:pPr>
      <w:r>
        <w:rPr>
          <w:rFonts w:hint="eastAsia" w:ascii="宋体" w:hAnsi="宋体" w:cs="宋体"/>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ascii="宋体" w:hAnsi="宋体" w:cs="宋体"/>
          <w:b/>
          <w:color w:val="000000"/>
          <w:szCs w:val="21"/>
        </w:rPr>
      </w:pPr>
      <w:r>
        <w:rPr>
          <w:rFonts w:hint="eastAsia" w:ascii="宋体" w:hAnsi="宋体" w:cs="宋体"/>
          <w:b/>
          <w:color w:val="000000"/>
          <w:szCs w:val="21"/>
        </w:rPr>
        <w:t>一、项目简要说明：</w:t>
      </w:r>
    </w:p>
    <w:tbl>
      <w:tblPr>
        <w:tblStyle w:val="22"/>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673"/>
        <w:gridCol w:w="829"/>
        <w:gridCol w:w="1571"/>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8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8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需求部门</w:t>
            </w:r>
          </w:p>
        </w:tc>
        <w:tc>
          <w:tcPr>
            <w:tcW w:w="1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89"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000000"/>
                <w:kern w:val="0"/>
                <w:sz w:val="20"/>
                <w:szCs w:val="20"/>
                <w:lang w:val="en-US" w:eastAsia="zh-CN"/>
              </w:rPr>
            </w:pPr>
            <w:r>
              <w:rPr>
                <w:rFonts w:hint="eastAsia"/>
              </w:rPr>
              <w:t>江宁医院</w:t>
            </w:r>
            <w:r>
              <w:rPr>
                <w:rFonts w:hint="eastAsia"/>
                <w:lang w:val="en-US" w:eastAsia="zh-CN"/>
              </w:rPr>
              <w:t>绩效管理系统升级项目</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875"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kern w:val="0"/>
                <w:sz w:val="20"/>
                <w:szCs w:val="20"/>
              </w:rPr>
            </w:pPr>
          </w:p>
        </w:tc>
        <w:tc>
          <w:tcPr>
            <w:tcW w:w="1728" w:type="pct"/>
            <w:tcBorders>
              <w:top w:val="single" w:color="auto" w:sz="4" w:space="0"/>
              <w:left w:val="single" w:color="auto" w:sz="4" w:space="0"/>
              <w:bottom w:val="single" w:color="auto" w:sz="4" w:space="0"/>
              <w:right w:val="single" w:color="auto" w:sz="4" w:space="0"/>
            </w:tcBorders>
            <w:vAlign w:val="center"/>
          </w:tcPr>
          <w:p>
            <w:pPr>
              <w:pStyle w:val="8"/>
              <w:ind w:firstLine="480"/>
              <w:rPr>
                <w:rFonts w:hint="eastAsia" w:ascii="宋体" w:hAnsi="宋体" w:eastAsia="宋体" w:cs="宋体"/>
                <w:kern w:val="0"/>
                <w:szCs w:val="21"/>
                <w:lang w:eastAsia="zh-CN"/>
              </w:rPr>
            </w:pPr>
            <w:r>
              <w:rPr>
                <w:rFonts w:hint="eastAsia" w:ascii="宋体" w:hAnsi="宋体" w:eastAsia="宋体" w:cs="宋体"/>
                <w:kern w:val="0"/>
                <w:szCs w:val="21"/>
              </w:rPr>
              <w:t>PB版本绩效系统改版为WEB版医院绩效平台，适合未来各种新模块的加入</w:t>
            </w:r>
            <w:r>
              <w:rPr>
                <w:rFonts w:hint="eastAsia" w:ascii="宋体" w:hAnsi="宋体" w:eastAsia="宋体" w:cs="宋体"/>
                <w:kern w:val="0"/>
                <w:szCs w:val="21"/>
                <w:lang w:eastAsia="zh-CN"/>
              </w:rPr>
              <w:t>。</w:t>
            </w:r>
          </w:p>
          <w:p>
            <w:pPr>
              <w:pStyle w:val="8"/>
              <w:ind w:firstLine="480"/>
              <w:rPr>
                <w:rFonts w:ascii="宋体" w:hAnsi="宋体" w:cs="宋体"/>
                <w:color w:val="000000"/>
                <w:kern w:val="0"/>
                <w:sz w:val="20"/>
                <w:szCs w:val="20"/>
              </w:rPr>
            </w:pPr>
            <w:r>
              <w:rPr>
                <w:rFonts w:hint="eastAsia"/>
              </w:rPr>
              <w:t>本项目定位于建立符合公立医院改革精神与医院管理特色的现代医院综合运营精细化管理，优化绩效核算方案、加强医院学科建设、适应DRGs支付政策，建立一体化的绩效管理体系，形成标准化绩效数据，支撑医院通过发挥绩效的杠杆作用，充分发挥员工的工作积极性，推动医院良性健康发展。</w:t>
            </w:r>
          </w:p>
        </w:tc>
      </w:tr>
    </w:tbl>
    <w:p>
      <w:pPr>
        <w:spacing w:line="360" w:lineRule="auto"/>
        <w:rPr>
          <w:rFonts w:ascii="宋体" w:hAnsi="宋体" w:cs="宋体"/>
          <w:b/>
          <w:color w:val="000000"/>
          <w:szCs w:val="21"/>
        </w:rPr>
      </w:pPr>
      <w:r>
        <w:rPr>
          <w:rFonts w:hint="eastAsia" w:ascii="宋体" w:hAnsi="宋体" w:cs="宋体"/>
          <w:b/>
          <w:color w:val="000000"/>
          <w:szCs w:val="21"/>
        </w:rPr>
        <w:t>二、供应商报名资格要求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报名单位必须具备《中华人民共和国政府采购法》第22条所规定的条件外，还须具备如下条件：</w:t>
      </w:r>
    </w:p>
    <w:p>
      <w:pPr>
        <w:spacing w:line="360" w:lineRule="auto"/>
        <w:ind w:firstLine="420" w:firstLineChars="200"/>
        <w:rPr>
          <w:rFonts w:ascii="宋体" w:hAnsi="宋体" w:cs="宋体"/>
          <w:kern w:val="0"/>
          <w:szCs w:val="21"/>
        </w:rPr>
      </w:pPr>
      <w:r>
        <w:rPr>
          <w:rFonts w:hint="eastAsia" w:ascii="宋体" w:hAnsi="宋体" w:cs="宋体"/>
          <w:kern w:val="0"/>
          <w:szCs w:val="21"/>
        </w:rPr>
        <w:t>1）在国内工商管理部门注册，具有独立的法人资格。</w:t>
      </w:r>
    </w:p>
    <w:p>
      <w:pPr>
        <w:spacing w:line="360" w:lineRule="auto"/>
        <w:ind w:firstLine="420" w:firstLineChars="200"/>
        <w:rPr>
          <w:rFonts w:ascii="宋体" w:hAnsi="宋体" w:cs="宋体"/>
          <w:kern w:val="0"/>
          <w:szCs w:val="21"/>
        </w:rPr>
      </w:pPr>
      <w:r>
        <w:rPr>
          <w:rFonts w:hint="eastAsia" w:ascii="宋体" w:hAnsi="宋体" w:cs="宋体"/>
          <w:kern w:val="0"/>
          <w:szCs w:val="21"/>
        </w:rPr>
        <w:t>2）法定代表人授权委托书（法定代表人签署不需提供此书）；法定代表人及授权代表身份证正反面复印件；</w:t>
      </w:r>
    </w:p>
    <w:p>
      <w:pPr>
        <w:spacing w:line="360" w:lineRule="auto"/>
        <w:ind w:firstLine="420" w:firstLineChars="200"/>
        <w:rPr>
          <w:rFonts w:ascii="宋体" w:hAnsi="宋体" w:cs="宋体"/>
          <w:kern w:val="0"/>
          <w:szCs w:val="21"/>
        </w:rPr>
      </w:pPr>
      <w:r>
        <w:rPr>
          <w:rFonts w:hint="eastAsia" w:ascii="宋体" w:hAnsi="宋体" w:cs="宋体"/>
          <w:kern w:val="0"/>
          <w:szCs w:val="21"/>
        </w:rPr>
        <w:t>3）具有良好的商业信誉和健全的财务会计制度；</w:t>
      </w:r>
    </w:p>
    <w:p>
      <w:pPr>
        <w:spacing w:line="360" w:lineRule="auto"/>
        <w:ind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pPr>
        <w:pStyle w:val="13"/>
        <w:spacing w:line="360" w:lineRule="auto"/>
        <w:ind w:left="0" w:leftChars="0" w:firstLine="420" w:firstLineChars="200"/>
        <w:rPr>
          <w:rFonts w:ascii="宋体" w:hAnsi="宋体" w:eastAsia="宋体" w:cs="宋体"/>
          <w:kern w:val="0"/>
          <w:sz w:val="21"/>
          <w:szCs w:val="21"/>
        </w:rPr>
      </w:pPr>
      <w:r>
        <w:rPr>
          <w:rFonts w:hint="eastAsia" w:ascii="宋体" w:hAnsi="宋体" w:eastAsia="宋体" w:cs="宋体"/>
          <w:kern w:val="0"/>
          <w:sz w:val="21"/>
          <w:szCs w:val="21"/>
        </w:rPr>
        <w:t>5）报名单位或原厂商具备2019年至今完成医院</w:t>
      </w:r>
      <w:r>
        <w:rPr>
          <w:rFonts w:hint="eastAsia" w:ascii="宋体" w:hAnsi="宋体" w:eastAsia="宋体" w:cs="宋体"/>
          <w:kern w:val="0"/>
          <w:sz w:val="21"/>
          <w:szCs w:val="21"/>
          <w:lang w:val="en-US" w:eastAsia="zh-CN"/>
        </w:rPr>
        <w:t>绩效</w:t>
      </w:r>
      <w:r>
        <w:rPr>
          <w:rFonts w:hint="eastAsia" w:ascii="宋体" w:hAnsi="宋体" w:eastAsia="宋体" w:cs="宋体"/>
          <w:kern w:val="0"/>
          <w:sz w:val="21"/>
          <w:szCs w:val="21"/>
        </w:rPr>
        <w:t>管理系统建设案例，至少提供</w:t>
      </w:r>
      <w:r>
        <w:rPr>
          <w:rFonts w:hint="eastAsia" w:ascii="宋体" w:hAnsi="宋体" w:eastAsia="宋体" w:cs="宋体"/>
          <w:kern w:val="0"/>
          <w:sz w:val="21"/>
          <w:szCs w:val="21"/>
          <w:u w:val="single"/>
        </w:rPr>
        <w:t>3家</w:t>
      </w:r>
      <w:r>
        <w:rPr>
          <w:rFonts w:hint="eastAsia" w:ascii="宋体" w:hAnsi="宋体" w:eastAsia="宋体" w:cs="宋体"/>
          <w:kern w:val="0"/>
          <w:sz w:val="21"/>
          <w:szCs w:val="21"/>
        </w:rPr>
        <w:t>以上医院签约合同案例证明文件。</w:t>
      </w:r>
    </w:p>
    <w:p>
      <w:pPr>
        <w:rPr>
          <w:rFonts w:ascii="宋体" w:hAnsi="宋体" w:cs="宋体"/>
          <w:szCs w:val="21"/>
        </w:rPr>
      </w:pPr>
    </w:p>
    <w:p>
      <w:pPr>
        <w:spacing w:line="360" w:lineRule="auto"/>
        <w:rPr>
          <w:rFonts w:ascii="宋体" w:hAnsi="宋体" w:cs="宋体"/>
          <w:b/>
          <w:color w:val="000000"/>
          <w:szCs w:val="21"/>
        </w:rPr>
      </w:pPr>
      <w:r>
        <w:rPr>
          <w:rFonts w:hint="eastAsia" w:ascii="宋体" w:hAnsi="宋体" w:cs="宋体"/>
          <w:b/>
          <w:color w:val="000000"/>
          <w:szCs w:val="21"/>
        </w:rPr>
        <w:t>三、论证时间及地点联系方式：</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 xml:space="preserve">1.报名时间： </w:t>
      </w:r>
      <w:r>
        <w:rPr>
          <w:rFonts w:hint="eastAsia" w:ascii="宋体" w:hAnsi="宋体" w:cs="宋体"/>
          <w:szCs w:val="21"/>
          <w:lang w:val="en-US" w:eastAsia="zh-CN"/>
        </w:rPr>
        <w:t>2022年11月8日</w:t>
      </w:r>
    </w:p>
    <w:p>
      <w:pPr>
        <w:spacing w:line="360" w:lineRule="auto"/>
        <w:ind w:firstLine="422" w:firstLineChars="200"/>
        <w:rPr>
          <w:rFonts w:ascii="宋体" w:hAnsi="宋体" w:cs="宋体"/>
          <w:szCs w:val="21"/>
        </w:rPr>
      </w:pPr>
      <w:r>
        <w:rPr>
          <w:rFonts w:hint="eastAsia" w:ascii="宋体" w:hAnsi="宋体" w:cs="宋体"/>
          <w:b/>
          <w:bCs/>
          <w:szCs w:val="21"/>
        </w:rPr>
        <w:t>报名材料提交方式</w:t>
      </w:r>
      <w:r>
        <w:rPr>
          <w:rFonts w:hint="eastAsia" w:ascii="宋体" w:hAnsi="宋体" w:cs="宋体"/>
          <w:szCs w:val="21"/>
        </w:rPr>
        <w:t xml:space="preserve">：在报名时间截止之前通过电子邮件形式发送。 </w:t>
      </w:r>
    </w:p>
    <w:p>
      <w:pPr>
        <w:spacing w:line="360" w:lineRule="auto"/>
        <w:ind w:firstLine="422" w:firstLineChars="200"/>
        <w:rPr>
          <w:rFonts w:ascii="宋体" w:hAnsi="宋体" w:cs="宋体"/>
          <w:szCs w:val="21"/>
        </w:rPr>
      </w:pPr>
      <w:r>
        <w:rPr>
          <w:rFonts w:hint="eastAsia" w:ascii="宋体" w:hAnsi="宋体" w:cs="宋体"/>
          <w:b/>
          <w:bCs/>
          <w:szCs w:val="21"/>
        </w:rPr>
        <w:t>邮箱地址：</w:t>
      </w:r>
      <w:r>
        <w:rPr>
          <w:rFonts w:hint="eastAsia" w:ascii="宋体" w:hAnsi="宋体" w:cs="宋体"/>
          <w:szCs w:val="21"/>
        </w:rPr>
        <w:t>xzy_9920@163.com</w:t>
      </w:r>
    </w:p>
    <w:p>
      <w:pPr>
        <w:spacing w:line="360" w:lineRule="auto"/>
        <w:ind w:firstLine="420" w:firstLineChars="200"/>
        <w:rPr>
          <w:rFonts w:ascii="宋体" w:hAnsi="宋体" w:cs="宋体"/>
          <w:szCs w:val="21"/>
        </w:rPr>
      </w:pPr>
      <w:r>
        <w:rPr>
          <w:rFonts w:hint="eastAsia" w:ascii="宋体" w:hAnsi="宋体" w:cs="宋体"/>
          <w:szCs w:val="21"/>
        </w:rPr>
        <w:t>2. 论证时间：2022年</w:t>
      </w:r>
      <w:r>
        <w:rPr>
          <w:rFonts w:hint="eastAsia" w:ascii="宋体" w:hAnsi="宋体" w:cs="宋体"/>
          <w:szCs w:val="21"/>
          <w:lang w:val="en-US" w:eastAsia="zh-CN"/>
        </w:rPr>
        <w:t xml:space="preserve"> 11 </w:t>
      </w:r>
      <w:r>
        <w:rPr>
          <w:rFonts w:hint="eastAsia" w:ascii="宋体" w:hAnsi="宋体" w:cs="宋体"/>
          <w:szCs w:val="21"/>
        </w:rPr>
        <w:t>月</w:t>
      </w:r>
      <w:r>
        <w:rPr>
          <w:rFonts w:hint="eastAsia" w:ascii="宋体" w:hAnsi="宋体" w:cs="宋体"/>
          <w:szCs w:val="21"/>
          <w:lang w:val="en-US" w:eastAsia="zh-CN"/>
        </w:rPr>
        <w:t xml:space="preserve"> 9</w:t>
      </w:r>
      <w:r>
        <w:rPr>
          <w:rFonts w:hint="eastAsia" w:ascii="宋体" w:hAnsi="宋体" w:cs="宋体"/>
          <w:szCs w:val="21"/>
        </w:rPr>
        <w:t>日下午</w:t>
      </w:r>
      <w:r>
        <w:rPr>
          <w:rFonts w:ascii="宋体" w:hAnsi="宋体" w:cs="宋体"/>
          <w:szCs w:val="21"/>
        </w:rPr>
        <w:t>14</w:t>
      </w:r>
      <w:r>
        <w:rPr>
          <w:rFonts w:hint="eastAsia" w:ascii="宋体" w:hAnsi="宋体" w:cs="宋体"/>
          <w:szCs w:val="21"/>
        </w:rPr>
        <w:t>:</w:t>
      </w:r>
      <w:r>
        <w:rPr>
          <w:rFonts w:hint="eastAsia" w:ascii="宋体" w:hAnsi="宋体" w:cs="宋体"/>
          <w:szCs w:val="21"/>
          <w:lang w:val="en-US" w:eastAsia="zh-CN"/>
        </w:rPr>
        <w:t>00</w:t>
      </w:r>
      <w:bookmarkStart w:id="10" w:name="_GoBack"/>
      <w:bookmarkEnd w:id="10"/>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 论证地点： 湖山路169号3号楼7楼规划室。</w:t>
      </w:r>
    </w:p>
    <w:p>
      <w:pPr>
        <w:spacing w:line="360" w:lineRule="auto"/>
        <w:ind w:firstLine="420" w:firstLineChars="200"/>
        <w:rPr>
          <w:rFonts w:ascii="宋体" w:hAnsi="宋体" w:cs="宋体"/>
          <w:szCs w:val="21"/>
        </w:rPr>
      </w:pPr>
      <w:r>
        <w:rPr>
          <w:rFonts w:hint="eastAsia" w:ascii="宋体" w:hAnsi="宋体" w:cs="宋体"/>
          <w:szCs w:val="21"/>
        </w:rPr>
        <w:t>4. 联系电话：13645153881        联系人：熊老师</w:t>
      </w:r>
    </w:p>
    <w:p>
      <w:pPr>
        <w:pageBreakBefore w:val="0"/>
        <w:widowControl w:val="0"/>
        <w:kinsoku/>
        <w:wordWrap/>
        <w:overflowPunct/>
        <w:topLinePunct w:val="0"/>
        <w:autoSpaceDE/>
        <w:autoSpaceDN/>
        <w:bidi w:val="0"/>
        <w:adjustRightInd/>
        <w:spacing w:line="420" w:lineRule="exact"/>
        <w:textAlignment w:val="auto"/>
        <w:rPr>
          <w:rFonts w:ascii="宋体" w:hAnsi="宋体" w:cs="宋体"/>
          <w:b/>
          <w:kern w:val="0"/>
          <w:sz w:val="28"/>
          <w:szCs w:val="28"/>
        </w:rPr>
      </w:pPr>
      <w:r>
        <w:rPr>
          <w:rFonts w:hint="eastAsia" w:ascii="宋体" w:hAnsi="宋体" w:cs="宋体"/>
          <w:szCs w:val="21"/>
        </w:rPr>
        <w:br w:type="page"/>
      </w:r>
      <w:r>
        <w:rPr>
          <w:rFonts w:hint="eastAsia" w:ascii="宋体" w:hAnsi="宋体" w:cs="宋体"/>
          <w:b/>
          <w:kern w:val="0"/>
          <w:sz w:val="28"/>
          <w:szCs w:val="28"/>
        </w:rPr>
        <w:t>第二章  技术参数及要求</w:t>
      </w:r>
    </w:p>
    <w:p>
      <w:pPr>
        <w:pStyle w:val="29"/>
        <w:pageBreakBefore w:val="0"/>
        <w:widowControl w:val="0"/>
        <w:numPr>
          <w:ilvl w:val="255"/>
          <w:numId w:val="0"/>
        </w:numPr>
        <w:kinsoku/>
        <w:wordWrap/>
        <w:overflowPunct/>
        <w:topLinePunct w:val="0"/>
        <w:autoSpaceDE/>
        <w:autoSpaceDN/>
        <w:bidi w:val="0"/>
        <w:adjustRightInd/>
        <w:spacing w:line="420" w:lineRule="exact"/>
        <w:textAlignment w:val="auto"/>
        <w:rPr>
          <w:rFonts w:ascii="宋体" w:hAnsi="宋体" w:eastAsia="宋体" w:cs="宋体"/>
          <w:b/>
          <w:sz w:val="21"/>
          <w:szCs w:val="21"/>
        </w:rPr>
      </w:pPr>
      <w:r>
        <w:rPr>
          <w:rFonts w:hint="eastAsia" w:ascii="宋体" w:hAnsi="宋体" w:eastAsia="宋体" w:cs="宋体"/>
          <w:b/>
          <w:sz w:val="21"/>
          <w:szCs w:val="21"/>
        </w:rPr>
        <w:t>一、项目背景：</w:t>
      </w:r>
    </w:p>
    <w:p>
      <w:pPr>
        <w:pStyle w:val="8"/>
        <w:pageBreakBefore w:val="0"/>
        <w:widowControl w:val="0"/>
        <w:kinsoku/>
        <w:wordWrap/>
        <w:overflowPunct/>
        <w:topLinePunct w:val="0"/>
        <w:autoSpaceDE/>
        <w:autoSpaceDN/>
        <w:bidi w:val="0"/>
        <w:adjustRightInd/>
        <w:spacing w:line="420" w:lineRule="exact"/>
        <w:ind w:firstLine="480"/>
        <w:textAlignment w:val="auto"/>
        <w:rPr>
          <w:rFonts w:cs="Times New Roman"/>
        </w:rPr>
      </w:pPr>
      <w:r>
        <w:rPr>
          <w:rFonts w:hint="eastAsia"/>
        </w:rPr>
        <w:t>随着我国医改工作的全面开展及纵深推进，医保支付政策的持续调整，完善公立医院分配制度，推进公立医院绩效改革也势在必行。</w:t>
      </w:r>
    </w:p>
    <w:p>
      <w:pPr>
        <w:pStyle w:val="8"/>
        <w:pageBreakBefore w:val="0"/>
        <w:widowControl w:val="0"/>
        <w:kinsoku/>
        <w:wordWrap/>
        <w:overflowPunct/>
        <w:topLinePunct w:val="0"/>
        <w:autoSpaceDE/>
        <w:autoSpaceDN/>
        <w:bidi w:val="0"/>
        <w:adjustRightInd/>
        <w:spacing w:line="420" w:lineRule="exact"/>
        <w:ind w:firstLine="480"/>
        <w:textAlignment w:val="auto"/>
      </w:pPr>
      <w:r>
        <w:t>2020</w:t>
      </w:r>
      <w:r>
        <w:rPr>
          <w:rFonts w:hint="eastAsia"/>
        </w:rPr>
        <w:t>年国务院办公厅《国务院办公厅关于印发深化医药卫生体制改革</w:t>
      </w:r>
      <w:r>
        <w:t>2020</w:t>
      </w:r>
      <w:r>
        <w:rPr>
          <w:rFonts w:hint="eastAsia"/>
        </w:rPr>
        <w:t>年下半年重点工作任务的通知》（国办发〔</w:t>
      </w:r>
      <w:r>
        <w:t>2020</w:t>
      </w:r>
      <w:r>
        <w:rPr>
          <w:rFonts w:hint="eastAsia"/>
        </w:rPr>
        <w:t>〕</w:t>
      </w:r>
      <w:r>
        <w:t>25</w:t>
      </w:r>
      <w:r>
        <w:rPr>
          <w:rFonts w:hint="eastAsia"/>
        </w:rPr>
        <w:t>号），提出要健全医疗卫生机构和医务人员绩效考核机制。推进建立健全现代医院管理制度试点，深入开展公立医院综合改革示范和绩效评价工作。深化薪酬制度和编制管理改革。</w:t>
      </w:r>
      <w:r>
        <w:t>2021</w:t>
      </w:r>
      <w:r>
        <w:rPr>
          <w:rFonts w:hint="eastAsia"/>
        </w:rPr>
        <w:t>年工资福利司下发《关于深化公立医院薪酬制度改革的指导意见》（人社部发〔</w:t>
      </w:r>
      <w:r>
        <w:t>2021</w:t>
      </w:r>
      <w:r>
        <w:rPr>
          <w:rFonts w:hint="eastAsia"/>
        </w:rPr>
        <w:t>〕</w:t>
      </w:r>
      <w:r>
        <w:t>52</w:t>
      </w:r>
      <w:r>
        <w:rPr>
          <w:rFonts w:hint="eastAsia"/>
        </w:rPr>
        <w:t>号）中指出坚持以人民为中心的发展理念，适应现代医院管理制度需要，与医疗、医保、医药联动改革相衔接，落实“两个允许”要求，实施以增加知识价值为导向的分配政策，建立适应我国医疗行业特点的公立医院薪酬制度，强化公立医院公益属性，调动医院和医务人员积极性，不断提高医疗服务质量和水平。2</w:t>
      </w:r>
      <w:r>
        <w:t>021</w:t>
      </w:r>
      <w:r>
        <w:rPr>
          <w:rFonts w:hint="eastAsia"/>
        </w:rPr>
        <w:t>年人力资源社会保障部、财政部、国家卫生健康委、国家医保局、国家中医药局联合发布的《关于深化公立医院薪酬制度改革的指导意见》（人社部发〔</w:t>
      </w:r>
      <w:r>
        <w:t>2021</w:t>
      </w:r>
      <w:r>
        <w:rPr>
          <w:rFonts w:hint="eastAsia"/>
        </w:rPr>
        <w:t>〕</w:t>
      </w:r>
      <w:r>
        <w:t>52</w:t>
      </w:r>
      <w:r>
        <w:rPr>
          <w:rFonts w:hint="eastAsia"/>
        </w:rPr>
        <w:t>号）中强调公立医院内部分配应充分体现医、护、技、药、管等岗位差异，兼顾不同科室之间的平衡，向关键和紧缺岗位、高风险和高强度岗位、高层次人才、业务骨干和作出突出成绩的医务人员倾斜。</w:t>
      </w:r>
      <w:r>
        <w:t>2021</w:t>
      </w:r>
      <w:r>
        <w:rPr>
          <w:rFonts w:hint="eastAsia"/>
        </w:rPr>
        <w:t>年国务院办公厅发布的《关于推动公立医院高质量发展的意见》（国办发〔</w:t>
      </w:r>
      <w:r>
        <w:t>2021</w:t>
      </w:r>
      <w:r>
        <w:rPr>
          <w:rFonts w:hint="eastAsia"/>
        </w:rPr>
        <w:t>〕</w:t>
      </w:r>
      <w:r>
        <w:t>18</w:t>
      </w:r>
      <w:r>
        <w:rPr>
          <w:rFonts w:hint="eastAsia"/>
        </w:rPr>
        <w:t>号）提出，坚持和强化公益性导向，全面开展公立医院绩效考核，持续优化绩效考核指标体系，重点考核医疗质量、运营效率、持续发展、满意度评价等。改革公立医院内部绩效考核办法，以聘用合同为依据，以岗位职责完成情况为重点，将考核结果与薪酬分配挂钩。</w:t>
      </w:r>
    </w:p>
    <w:p>
      <w:pPr>
        <w:pStyle w:val="8"/>
        <w:pageBreakBefore w:val="0"/>
        <w:widowControl w:val="0"/>
        <w:kinsoku/>
        <w:wordWrap/>
        <w:overflowPunct/>
        <w:topLinePunct w:val="0"/>
        <w:autoSpaceDE/>
        <w:autoSpaceDN/>
        <w:bidi w:val="0"/>
        <w:adjustRightInd/>
        <w:spacing w:line="420" w:lineRule="exact"/>
        <w:ind w:firstLine="480"/>
        <w:textAlignment w:val="auto"/>
      </w:pPr>
      <w:r>
        <w:rPr>
          <w:rFonts w:hint="eastAsia"/>
        </w:rPr>
        <w:t>因此，不管是国家政策要求、医保付费的改变及医院内在管理需求，都倒逼医院进行绩效改革，根据医院战略发展目标统筹考虑医务人员的工作量、服务质量、医疗技术含量和医保结算效益，通过搭建</w:t>
      </w:r>
      <w:r>
        <w:t>RBRVS+DRG绩效管理体系</w:t>
      </w:r>
      <w:r>
        <w:rPr>
          <w:rFonts w:hint="eastAsia"/>
        </w:rPr>
        <w:t>，充分调动员工的积极性、主动性和创造性，树立正确的医院激励导向和医务人员价值导向，促进医院健康良性发展。</w:t>
      </w:r>
    </w:p>
    <w:p>
      <w:pPr>
        <w:pStyle w:val="2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b/>
          <w:sz w:val="21"/>
          <w:szCs w:val="21"/>
        </w:rPr>
      </w:pPr>
    </w:p>
    <w:p>
      <w:pPr>
        <w:pStyle w:val="29"/>
        <w:pageBreakBefore w:val="0"/>
        <w:widowControl w:val="0"/>
        <w:kinsoku/>
        <w:wordWrap/>
        <w:overflowPunct/>
        <w:topLinePunct w:val="0"/>
        <w:autoSpaceDE/>
        <w:autoSpaceDN/>
        <w:bidi w:val="0"/>
        <w:adjustRightInd/>
        <w:spacing w:line="420" w:lineRule="exact"/>
        <w:ind w:firstLine="0" w:firstLineChars="0"/>
        <w:textAlignment w:val="auto"/>
        <w:rPr>
          <w:rFonts w:ascii="宋体" w:hAnsi="宋体" w:eastAsia="宋体" w:cs="宋体"/>
          <w:b/>
          <w:sz w:val="21"/>
          <w:szCs w:val="21"/>
        </w:rPr>
      </w:pPr>
      <w:r>
        <w:rPr>
          <w:rFonts w:hint="eastAsia" w:ascii="宋体" w:hAnsi="宋体" w:eastAsia="宋体" w:cs="宋体"/>
          <w:b/>
          <w:sz w:val="21"/>
          <w:szCs w:val="21"/>
        </w:rPr>
        <w:t>二、采购需求：</w:t>
      </w:r>
    </w:p>
    <w:tbl>
      <w:tblPr>
        <w:tblStyle w:val="21"/>
        <w:tblpPr w:leftFromText="180" w:rightFromText="180" w:vertAnchor="text" w:horzAnchor="page" w:tblpX="1722" w:tblpY="33"/>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54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b/>
                <w:bCs/>
                <w:szCs w:val="21"/>
              </w:rPr>
            </w:pPr>
            <w:r>
              <w:rPr>
                <w:rFonts w:hint="eastAsia" w:ascii="宋体" w:hAnsi="宋体" w:cs="宋体"/>
                <w:b/>
                <w:bCs/>
                <w:szCs w:val="21"/>
              </w:rPr>
              <w:t>序号</w:t>
            </w:r>
          </w:p>
        </w:tc>
        <w:tc>
          <w:tcPr>
            <w:tcW w:w="4540" w:type="dxa"/>
            <w:shd w:val="clear" w:color="000000" w:fill="F2F2F2"/>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b/>
                <w:bCs/>
                <w:szCs w:val="21"/>
              </w:rPr>
            </w:pPr>
            <w:r>
              <w:rPr>
                <w:rFonts w:hint="eastAsia" w:ascii="宋体" w:hAnsi="宋体" w:cs="宋体"/>
                <w:b/>
                <w:bCs/>
                <w:szCs w:val="21"/>
              </w:rPr>
              <w:t>项    目</w:t>
            </w:r>
          </w:p>
        </w:tc>
        <w:tc>
          <w:tcPr>
            <w:tcW w:w="1420" w:type="dxa"/>
            <w:shd w:val="clear" w:color="000000" w:fill="F2F2F2"/>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b/>
                <w:bCs/>
                <w:szCs w:val="21"/>
              </w:rPr>
            </w:pPr>
            <w:r>
              <w:rPr>
                <w:rFonts w:hint="eastAsia" w:ascii="宋体" w:hAnsi="宋体" w:cs="宋体"/>
                <w:b/>
                <w:bCs/>
                <w:szCs w:val="21"/>
              </w:rPr>
              <w:t>数量</w:t>
            </w:r>
          </w:p>
        </w:tc>
        <w:tc>
          <w:tcPr>
            <w:tcW w:w="1420" w:type="dxa"/>
            <w:shd w:val="clear" w:color="000000" w:fill="F2F2F2"/>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4540" w:type="dxa"/>
            <w:vAlign w:val="center"/>
          </w:tcPr>
          <w:p>
            <w:pPr>
              <w:pStyle w:val="2"/>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szCs w:val="21"/>
                <w:lang w:val="en-US" w:eastAsia="zh-CN"/>
              </w:rPr>
            </w:pPr>
            <w:r>
              <w:t>W</w:t>
            </w:r>
            <w:r>
              <w:rPr>
                <w:rFonts w:hint="eastAsia"/>
              </w:rPr>
              <w:t>eb版医院绩效</w:t>
            </w:r>
            <w:r>
              <w:rPr>
                <w:rFonts w:hint="eastAsia"/>
                <w:lang w:val="en-US" w:eastAsia="zh-CN"/>
              </w:rPr>
              <w:t>平台</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pageBreakBefore w:val="0"/>
              <w:widowControl w:val="0"/>
              <w:kinsoku/>
              <w:wordWrap/>
              <w:overflowPunct/>
              <w:topLinePunct w:val="0"/>
              <w:autoSpaceDE/>
              <w:autoSpaceDN/>
              <w:bidi w:val="0"/>
              <w:adjustRightInd/>
              <w:spacing w:line="420" w:lineRule="exact"/>
              <w:ind w:firstLine="210" w:firstLineChars="10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4540" w:type="dxa"/>
            <w:vAlign w:val="center"/>
          </w:tcPr>
          <w:p>
            <w:pPr>
              <w:pStyle w:val="2"/>
              <w:pageBreakBefore w:val="0"/>
              <w:widowControl w:val="0"/>
              <w:kinsoku/>
              <w:wordWrap/>
              <w:overflowPunct/>
              <w:topLinePunct w:val="0"/>
              <w:autoSpaceDE/>
              <w:autoSpaceDN/>
              <w:bidi w:val="0"/>
              <w:adjustRightInd/>
              <w:spacing w:line="420" w:lineRule="exact"/>
              <w:ind w:firstLine="460" w:firstLineChars="200"/>
              <w:jc w:val="center"/>
              <w:textAlignment w:val="auto"/>
              <w:rPr>
                <w:rFonts w:ascii="宋体" w:hAnsi="宋体" w:cs="宋体"/>
                <w:szCs w:val="21"/>
              </w:rPr>
            </w:pPr>
            <w:r>
              <w:rPr>
                <w:rFonts w:hint="eastAsia"/>
                <w:color w:val="000000" w:themeColor="text1"/>
                <w:szCs w:val="21"/>
                <w14:textFill>
                  <w14:solidFill>
                    <w14:schemeClr w14:val="tx1"/>
                  </w14:solidFill>
                </w14:textFill>
              </w:rPr>
              <w:t>医院学科建设激励</w:t>
            </w:r>
            <w:r>
              <w:rPr>
                <w:rFonts w:hint="eastAsia"/>
                <w:color w:val="000000" w:themeColor="text1"/>
                <w:szCs w:val="21"/>
                <w:lang w:val="en-US" w:eastAsia="zh-CN"/>
                <w14:textFill>
                  <w14:solidFill>
                    <w14:schemeClr w14:val="tx1"/>
                  </w14:solidFill>
                </w14:textFill>
              </w:rPr>
              <w:t>模块</w:t>
            </w:r>
            <w:r>
              <w:rPr>
                <w:rFonts w:hint="eastAsia"/>
                <w:color w:val="000000" w:themeColor="text1"/>
                <w:szCs w:val="21"/>
                <w14:textFill>
                  <w14:solidFill>
                    <w14:schemeClr w14:val="tx1"/>
                  </w14:solidFill>
                </w14:textFill>
              </w:rPr>
              <w:t>（CMI/RW）</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1</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pageBreakBefore w:val="0"/>
              <w:widowControl w:val="0"/>
              <w:kinsoku/>
              <w:wordWrap/>
              <w:overflowPunct/>
              <w:topLinePunct w:val="0"/>
              <w:autoSpaceDE/>
              <w:autoSpaceDN/>
              <w:bidi w:val="0"/>
              <w:adjustRightInd/>
              <w:spacing w:line="420" w:lineRule="exact"/>
              <w:ind w:firstLine="210" w:firstLineChars="10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4540" w:type="dxa"/>
            <w:vAlign w:val="center"/>
          </w:tcPr>
          <w:p>
            <w:pPr>
              <w:pStyle w:val="2"/>
              <w:pageBreakBefore w:val="0"/>
              <w:widowControl w:val="0"/>
              <w:kinsoku/>
              <w:wordWrap/>
              <w:overflowPunct/>
              <w:topLinePunct w:val="0"/>
              <w:autoSpaceDE/>
              <w:autoSpaceDN/>
              <w:bidi w:val="0"/>
              <w:adjustRightInd/>
              <w:spacing w:line="420" w:lineRule="exact"/>
              <w:ind w:firstLine="460" w:firstLineChars="200"/>
              <w:jc w:val="center"/>
              <w:textAlignment w:val="auto"/>
              <w:rPr>
                <w:rFonts w:ascii="宋体" w:hAnsi="宋体" w:cs="宋体"/>
                <w:szCs w:val="21"/>
              </w:rPr>
            </w:pPr>
            <w:r>
              <w:rPr>
                <w:rFonts w:hint="eastAsia"/>
                <w:lang w:val="en-US" w:eastAsia="zh-CN"/>
              </w:rPr>
              <w:t>绩效奖金二次分配模块</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1</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pageBreakBefore w:val="0"/>
              <w:widowControl w:val="0"/>
              <w:kinsoku/>
              <w:wordWrap/>
              <w:overflowPunct/>
              <w:topLinePunct w:val="0"/>
              <w:autoSpaceDE/>
              <w:autoSpaceDN/>
              <w:bidi w:val="0"/>
              <w:adjustRightInd/>
              <w:spacing w:line="420" w:lineRule="exact"/>
              <w:ind w:firstLine="210" w:firstLineChars="10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4</w:t>
            </w:r>
          </w:p>
        </w:tc>
        <w:tc>
          <w:tcPr>
            <w:tcW w:w="4540" w:type="dxa"/>
            <w:vAlign w:val="center"/>
          </w:tcPr>
          <w:p>
            <w:pPr>
              <w:pStyle w:val="2"/>
              <w:pageBreakBefore w:val="0"/>
              <w:widowControl w:val="0"/>
              <w:kinsoku/>
              <w:wordWrap/>
              <w:overflowPunct/>
              <w:topLinePunct w:val="0"/>
              <w:autoSpaceDE/>
              <w:autoSpaceDN/>
              <w:bidi w:val="0"/>
              <w:adjustRightInd/>
              <w:spacing w:line="420" w:lineRule="exact"/>
              <w:ind w:firstLine="460" w:firstLineChars="200"/>
              <w:jc w:val="center"/>
              <w:textAlignment w:val="auto"/>
              <w:rPr>
                <w:rFonts w:ascii="宋体" w:hAnsi="宋体" w:cs="宋体"/>
                <w:szCs w:val="21"/>
              </w:rPr>
            </w:pPr>
            <w:r>
              <w:rPr>
                <w:rFonts w:hint="eastAsia"/>
              </w:rPr>
              <w:t>DRG/DIP环境下的绩效奖金模块</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1</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pageBreakBefore w:val="0"/>
              <w:widowControl w:val="0"/>
              <w:kinsoku/>
              <w:wordWrap/>
              <w:overflowPunct/>
              <w:topLinePunct w:val="0"/>
              <w:autoSpaceDE/>
              <w:autoSpaceDN/>
              <w:bidi w:val="0"/>
              <w:adjustRightInd/>
              <w:spacing w:line="420" w:lineRule="exact"/>
              <w:ind w:firstLine="210" w:firstLineChars="10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4540" w:type="dxa"/>
            <w:vAlign w:val="center"/>
          </w:tcPr>
          <w:p>
            <w:pPr>
              <w:pStyle w:val="2"/>
              <w:pageBreakBefore w:val="0"/>
              <w:widowControl w:val="0"/>
              <w:kinsoku/>
              <w:wordWrap/>
              <w:overflowPunct/>
              <w:topLinePunct w:val="0"/>
              <w:autoSpaceDE/>
              <w:autoSpaceDN/>
              <w:bidi w:val="0"/>
              <w:adjustRightInd/>
              <w:spacing w:line="420" w:lineRule="exact"/>
              <w:ind w:firstLine="460" w:firstLineChars="200"/>
              <w:jc w:val="center"/>
              <w:textAlignment w:val="auto"/>
              <w:rPr>
                <w:rFonts w:ascii="宋体" w:hAnsi="宋体" w:cs="宋体"/>
                <w:szCs w:val="21"/>
              </w:rPr>
            </w:pPr>
            <w:r>
              <w:rPr>
                <w:rFonts w:hint="eastAsia"/>
              </w:rPr>
              <w:t>质量考核（含三级公立综合医院绩效考核）指标模块</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1</w:t>
            </w:r>
          </w:p>
        </w:tc>
        <w:tc>
          <w:tcPr>
            <w:tcW w:w="1420" w:type="dxa"/>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cs="宋体"/>
                <w:szCs w:val="21"/>
              </w:rPr>
            </w:pPr>
            <w:r>
              <w:rPr>
                <w:rFonts w:hint="eastAsia" w:ascii="宋体" w:hAnsi="宋体" w:cs="宋体"/>
                <w:szCs w:val="21"/>
                <w:lang w:val="en-US" w:eastAsia="zh-CN"/>
              </w:rPr>
              <w:t>套</w:t>
            </w:r>
          </w:p>
        </w:tc>
      </w:tr>
    </w:tbl>
    <w:p>
      <w:pPr>
        <w:pStyle w:val="30"/>
        <w:pageBreakBefore w:val="0"/>
        <w:widowControl w:val="0"/>
        <w:kinsoku/>
        <w:wordWrap/>
        <w:overflowPunct/>
        <w:topLinePunct w:val="0"/>
        <w:autoSpaceDE/>
        <w:autoSpaceDN/>
        <w:bidi w:val="0"/>
        <w:adjustRightInd/>
        <w:spacing w:line="420" w:lineRule="exact"/>
        <w:ind w:firstLine="0" w:firstLineChars="0"/>
        <w:jc w:val="center"/>
        <w:textAlignment w:val="auto"/>
        <w:rPr>
          <w:rFonts w:ascii="宋体" w:hAnsi="宋体"/>
          <w:b/>
          <w:kern w:val="0"/>
          <w:sz w:val="21"/>
          <w:szCs w:val="21"/>
        </w:rPr>
      </w:pPr>
    </w:p>
    <w:p>
      <w:pPr>
        <w:pStyle w:val="30"/>
        <w:pageBreakBefore w:val="0"/>
        <w:widowControl w:val="0"/>
        <w:numPr>
          <w:ilvl w:val="0"/>
          <w:numId w:val="3"/>
        </w:numPr>
        <w:kinsoku/>
        <w:wordWrap/>
        <w:overflowPunct/>
        <w:topLinePunct w:val="0"/>
        <w:autoSpaceDE/>
        <w:autoSpaceDN/>
        <w:bidi w:val="0"/>
        <w:adjustRightInd/>
        <w:spacing w:line="420" w:lineRule="exact"/>
        <w:ind w:firstLine="0" w:firstLineChars="0"/>
        <w:textAlignment w:val="auto"/>
        <w:rPr>
          <w:rFonts w:ascii="宋体" w:hAnsi="宋体" w:eastAsia="宋体"/>
          <w:b/>
          <w:kern w:val="0"/>
          <w:sz w:val="21"/>
          <w:szCs w:val="21"/>
        </w:rPr>
      </w:pPr>
      <w:r>
        <w:rPr>
          <w:rFonts w:hint="eastAsia" w:ascii="宋体" w:hAnsi="宋体" w:eastAsia="宋体"/>
          <w:b/>
          <w:kern w:val="0"/>
          <w:sz w:val="21"/>
          <w:szCs w:val="21"/>
        </w:rPr>
        <w:t>招标参数</w:t>
      </w:r>
    </w:p>
    <w:p>
      <w:pPr>
        <w:pageBreakBefore w:val="0"/>
        <w:widowControl w:val="0"/>
        <w:kinsoku/>
        <w:wordWrap/>
        <w:overflowPunct/>
        <w:topLinePunct w:val="0"/>
        <w:autoSpaceDE/>
        <w:autoSpaceDN/>
        <w:bidi w:val="0"/>
        <w:adjustRightInd/>
        <w:spacing w:line="420" w:lineRule="exact"/>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（一）总体要求</w:t>
      </w:r>
    </w:p>
    <w:p>
      <w:pPr>
        <w:pStyle w:val="8"/>
        <w:pageBreakBefore w:val="0"/>
        <w:widowControl w:val="0"/>
        <w:kinsoku/>
        <w:wordWrap/>
        <w:overflowPunct/>
        <w:topLinePunct w:val="0"/>
        <w:autoSpaceDE/>
        <w:autoSpaceDN/>
        <w:bidi w:val="0"/>
        <w:adjustRightInd/>
        <w:spacing w:line="420" w:lineRule="exact"/>
        <w:ind w:firstLine="495" w:firstLineChars="236"/>
        <w:textAlignment w:val="auto"/>
        <w:rPr>
          <w:rFonts w:eastAsia="宋体"/>
        </w:rPr>
      </w:pPr>
      <w:r>
        <w:rPr>
          <w:rFonts w:hint="eastAsia" w:eastAsia="宋体"/>
        </w:rPr>
        <w:t>本项目要求基于医院现有的综合管理平台完成医院绩效管理体系的建设。</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rPr>
      </w:pPr>
      <w:r>
        <w:rPr>
          <w:rFonts w:hint="eastAsia" w:eastAsia="宋体"/>
        </w:rPr>
        <w:t>绩效方案设计要应用RBRVS评估系统，建立临床医师、护理和医技岗位工作量价值的绩效评估模型，体现医务人员的劳动价值。同时绩效方案要建立可控成本管控模式，明确成本责任中心，调动全员堵漏节支的积极性和创造性，降低运行成本，提高运行效率。合理评估医院重点专科，综合考虑不同专科特点，建立以专科特色为基础的新型绩效分配方案。</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rPr>
      </w:pPr>
      <w:r>
        <w:rPr>
          <w:rFonts w:hint="eastAsia" w:eastAsia="宋体"/>
        </w:rPr>
        <w:t>全院使用同一套RBRVS点数价值表。使用RBRVS或工作量核算，每一岗位核算的公式或结果不得加上不同单价系数，要确保每一岗位操作相同项目，RBRVS核算结果一致。</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rPr>
      </w:pPr>
      <w:r>
        <w:rPr>
          <w:rFonts w:hint="eastAsia" w:eastAsia="宋体"/>
        </w:rPr>
        <w:t>绩效方案设计要合理评估收治病例的复杂程度与治疗技术难度的工作量，提高科室收治疑难病症的积极性，激励医院学科的建设和发展。</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color w:val="C00000"/>
        </w:rPr>
      </w:pPr>
      <w:r>
        <w:rPr>
          <w:rFonts w:hint="eastAsia" w:eastAsia="宋体"/>
        </w:rPr>
        <w:t>充分考虑DRG支付政策的影响，建立RBRVS+DRG一体化的绩效管理体系，整合、打通工作量奖励性绩效奖金核算、医保扣费绩效管理的工作，提供DRG付费对医院大额度扣费问题的绩效解决方案，有效引导临床一线共同适应DIP支付政策的变革。</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color w:val="C00000"/>
        </w:rPr>
      </w:pPr>
      <w:r>
        <w:rPr>
          <w:rFonts w:hint="eastAsia" w:eastAsia="宋体"/>
        </w:rPr>
        <w:t>质量考核指标需提供其它医院指标参考版，协助医院建立一套科学规范完整的综合质量考核指标体系。考核指标体系要与三级公立医院绩效评价指标框架和医院发展规划相适应，突出工作质量、工作效率、患者满意度、技术难度、风险程度及教学科研等方面内容。</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rPr>
      </w:pPr>
      <w:r>
        <w:rPr>
          <w:rFonts w:hint="eastAsia" w:eastAsia="宋体"/>
        </w:rPr>
        <w:t>绩效方案优化。中标人负责现有绩效管理方案进行梳理，测算相关对的数据，协助医院对修正相关参数，对医院现有绩效方案进行优化。</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rPr>
          <w:rFonts w:eastAsia="宋体"/>
          <w:color w:val="C00000"/>
        </w:rPr>
      </w:pPr>
      <w:r>
        <w:rPr>
          <w:rFonts w:hint="eastAsia" w:eastAsia="宋体"/>
        </w:rPr>
        <w:t>中标公司需搭建配套的web版医院绩效平台，医院绩效平台需与医院原有的管理系统实现无缝对接，并以绩效方案为基础提供定制化内容的信息化模块。要保证所开发的系统软件与招标人的系统、设备相匹配，具有技术先进性、可行性、安全性、稳定性、可靠性和易用性。</w:t>
      </w:r>
    </w:p>
    <w:p>
      <w:pPr>
        <w:pStyle w:val="3"/>
        <w:pageBreakBefore w:val="0"/>
        <w:widowControl w:val="0"/>
        <w:numPr>
          <w:ilvl w:val="0"/>
          <w:numId w:val="4"/>
        </w:numPr>
        <w:kinsoku/>
        <w:wordWrap/>
        <w:overflowPunct/>
        <w:topLinePunct w:val="0"/>
        <w:autoSpaceDE/>
        <w:autoSpaceDN/>
        <w:bidi w:val="0"/>
        <w:adjustRightInd/>
        <w:spacing w:line="420" w:lineRule="exact"/>
        <w:ind w:left="0" w:leftChars="0" w:firstLine="0" w:firstLineChars="0"/>
        <w:textAlignment w:val="auto"/>
        <w:rPr>
          <w:rFonts w:hint="eastAsia" w:eastAsia="宋体" w:asciiTheme="minorHAnsi" w:hAnsiTheme="minorHAnsi" w:cstheme="minorBidi"/>
          <w:kern w:val="2"/>
          <w:sz w:val="24"/>
          <w:szCs w:val="20"/>
          <w:lang w:val="en-US" w:eastAsia="zh-CN" w:bidi="ar-SA"/>
        </w:rPr>
      </w:pPr>
      <w:r>
        <w:rPr>
          <w:rFonts w:hint="eastAsia" w:eastAsia="宋体" w:asciiTheme="minorHAnsi" w:hAnsiTheme="minorHAnsi" w:cstheme="minorBidi"/>
          <w:kern w:val="2"/>
          <w:sz w:val="24"/>
          <w:szCs w:val="20"/>
          <w:lang w:val="en-US" w:eastAsia="zh-CN" w:bidi="ar-SA"/>
        </w:rPr>
        <w:t>制定二次分配指导意见。在院科两级管理的模式下，为促进科室内部分配的公平公平，制定医院二次分配指导意见，规范科室二次分配方案，原则上以工作量为主，统筹考虑职称、职务、医疗质量等因素。</w:t>
      </w:r>
    </w:p>
    <w:p>
      <w:pPr>
        <w:pStyle w:val="8"/>
        <w:pageBreakBefore w:val="0"/>
        <w:widowControl w:val="0"/>
        <w:numPr>
          <w:ilvl w:val="0"/>
          <w:numId w:val="4"/>
        </w:numPr>
        <w:kinsoku/>
        <w:wordWrap/>
        <w:overflowPunct/>
        <w:topLinePunct w:val="0"/>
        <w:autoSpaceDE/>
        <w:autoSpaceDN/>
        <w:bidi w:val="0"/>
        <w:adjustRightInd/>
        <w:spacing w:line="420" w:lineRule="exact"/>
        <w:ind w:left="0" w:firstLine="0" w:firstLineChars="0"/>
        <w:textAlignment w:val="auto"/>
      </w:pPr>
      <w:r>
        <w:rPr>
          <w:rFonts w:hint="eastAsia" w:eastAsia="宋体"/>
        </w:rPr>
        <w:t>中标公司需对医院相关责任人进行全方位的培训及带教，及时解答项目组人员提出的问题及解决方法，并提供详细的培训计划。项目过程中要持续向院领导、职代会、各核算单元进行宣讲辅导和答疑，并针对院方的相关问题提出合理化建议。</w:t>
      </w:r>
    </w:p>
    <w:p>
      <w:pPr>
        <w:pStyle w:val="9"/>
        <w:pageBreakBefore w:val="0"/>
        <w:widowControl w:val="0"/>
        <w:kinsoku/>
        <w:wordWrap/>
        <w:overflowPunct/>
        <w:topLinePunct w:val="0"/>
        <w:autoSpaceDE/>
        <w:autoSpaceDN/>
        <w:bidi w:val="0"/>
        <w:adjustRightInd/>
        <w:spacing w:line="420" w:lineRule="exact"/>
        <w:textAlignment w:val="auto"/>
      </w:pPr>
    </w:p>
    <w:p>
      <w:pPr>
        <w:pStyle w:val="30"/>
        <w:pageBreakBefore w:val="0"/>
        <w:widowControl w:val="0"/>
        <w:numPr>
          <w:ilvl w:val="0"/>
          <w:numId w:val="5"/>
        </w:numPr>
        <w:kinsoku/>
        <w:wordWrap/>
        <w:overflowPunct/>
        <w:topLinePunct w:val="0"/>
        <w:autoSpaceDE/>
        <w:autoSpaceDN/>
        <w:bidi w:val="0"/>
        <w:adjustRightInd/>
        <w:spacing w:line="420" w:lineRule="exact"/>
        <w:ind w:firstLine="0" w:firstLineChars="0"/>
        <w:textAlignment w:val="auto"/>
        <w:rPr>
          <w:rFonts w:hint="eastAsia" w:ascii="宋体" w:hAnsi="宋体"/>
          <w:b/>
          <w:kern w:val="0"/>
          <w:sz w:val="21"/>
          <w:szCs w:val="21"/>
        </w:rPr>
      </w:pPr>
      <w:r>
        <w:rPr>
          <w:rFonts w:hint="eastAsia" w:ascii="宋体" w:hAnsi="宋体"/>
          <w:b/>
          <w:kern w:val="0"/>
          <w:sz w:val="21"/>
          <w:szCs w:val="21"/>
        </w:rPr>
        <w:t>系统功能技术参数要求</w:t>
      </w:r>
    </w:p>
    <w:tbl>
      <w:tblPr>
        <w:tblStyle w:val="21"/>
        <w:tblW w:w="957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80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shd w:val="clear" w:color="auto" w:fill="AEAAAA" w:themeFill="background2" w:themeFillShade="BF"/>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Times New Roman"/>
                <w:b/>
                <w:bCs/>
                <w:color w:val="000000"/>
                <w:kern w:val="0"/>
                <w:szCs w:val="21"/>
                <w:lang w:val="en-US" w:eastAsia="zh-CN"/>
              </w:rPr>
            </w:pPr>
            <w:r>
              <w:rPr>
                <w:rFonts w:hint="eastAsia" w:ascii="宋体" w:hAnsi="宋体" w:eastAsia="宋体" w:cs="Times New Roman"/>
                <w:b/>
                <w:bCs/>
                <w:color w:val="000000"/>
                <w:kern w:val="0"/>
                <w:szCs w:val="21"/>
                <w:lang w:val="en-US" w:eastAsia="zh-CN"/>
              </w:rPr>
              <w:t>序号</w:t>
            </w:r>
          </w:p>
        </w:tc>
        <w:tc>
          <w:tcPr>
            <w:tcW w:w="1807" w:type="dxa"/>
            <w:shd w:val="clear" w:color="auto" w:fill="AEAAAA" w:themeFill="background2" w:themeFillShade="BF"/>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Times New Roman"/>
                <w:b/>
                <w:bCs/>
                <w:color w:val="000000"/>
                <w:kern w:val="0"/>
                <w:szCs w:val="21"/>
              </w:rPr>
            </w:pPr>
            <w:r>
              <w:rPr>
                <w:rFonts w:hint="eastAsia" w:ascii="宋体" w:hAnsi="宋体" w:eastAsia="宋体" w:cs="Times New Roman"/>
                <w:b/>
                <w:bCs/>
                <w:color w:val="000000"/>
                <w:kern w:val="0"/>
                <w:szCs w:val="21"/>
              </w:rPr>
              <w:t>模块</w:t>
            </w:r>
          </w:p>
        </w:tc>
        <w:tc>
          <w:tcPr>
            <w:tcW w:w="6518" w:type="dxa"/>
            <w:shd w:val="clear" w:color="auto" w:fill="AEAAAA" w:themeFill="background2" w:themeFillShade="BF"/>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Times New Roman"/>
                <w:b/>
                <w:bCs/>
                <w:color w:val="000000"/>
                <w:kern w:val="0"/>
                <w:szCs w:val="21"/>
              </w:rPr>
            </w:pPr>
            <w:r>
              <w:rPr>
                <w:rFonts w:hint="eastAsia" w:ascii="宋体" w:hAnsi="宋体" w:eastAsia="宋体" w:cs="Times New Roman"/>
                <w:b/>
                <w:bCs/>
                <w:color w:val="000000"/>
                <w:kern w:val="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eastAsia="宋体"/>
                <w:lang w:val="en-US" w:eastAsia="zh-CN"/>
              </w:rPr>
            </w:pPr>
            <w:r>
              <w:rPr>
                <w:rFonts w:hint="eastAsia"/>
                <w:lang w:val="en-US" w:eastAsia="zh-CN"/>
              </w:rPr>
              <w:t>1</w:t>
            </w:r>
          </w:p>
        </w:tc>
        <w:tc>
          <w:tcPr>
            <w:tcW w:w="1807"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r>
              <w:t>W</w:t>
            </w:r>
            <w:r>
              <w:rPr>
                <w:rFonts w:hint="eastAsia"/>
              </w:rPr>
              <w:t>eb绩效</w:t>
            </w:r>
            <w:r>
              <w:rPr>
                <w:rFonts w:hint="eastAsia"/>
                <w:lang w:val="en-US" w:eastAsia="zh-CN"/>
              </w:rPr>
              <w:t>系统</w:t>
            </w:r>
            <w:r>
              <w:rPr>
                <w:rFonts w:hint="eastAsia"/>
              </w:rPr>
              <w:t>平台</w:t>
            </w: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rPr>
            </w:pPr>
            <w:r>
              <w:rPr>
                <w:rFonts w:hint="eastAsia"/>
                <w:b w:val="0"/>
                <w:bCs w:val="0"/>
              </w:rPr>
              <w:t>1.管理信息基础设置：</w:t>
            </w:r>
            <w:r>
              <w:rPr>
                <w:rFonts w:hint="eastAsia"/>
              </w:rPr>
              <w:t>包括科室代码、职系维护、员工基本信息（员工代码、所在科室、姓名、职工类别等）等设置和维护。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rPr>
            </w:pPr>
            <w:r>
              <w:rPr>
                <w:rFonts w:hint="eastAsia"/>
                <w:b w:val="0"/>
                <w:bCs w:val="0"/>
              </w:rPr>
              <w:t>2.用户管理：</w:t>
            </w:r>
            <w:r>
              <w:rPr>
                <w:rFonts w:hint="eastAsia"/>
              </w:rPr>
              <w:t>支持设置用户的账号密码，支持在系统查看用户内容权限，支持对用户的增加、修改、删除。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rPr>
            </w:pPr>
            <w:r>
              <w:rPr>
                <w:rFonts w:hint="eastAsia"/>
                <w:b w:val="0"/>
                <w:bCs w:val="0"/>
              </w:rPr>
              <w:t>3.权限管理：</w:t>
            </w:r>
            <w:r>
              <w:rPr>
                <w:rFonts w:hint="eastAsia"/>
              </w:rPr>
              <w:t>设置用户的数据查看权限、填报权限和功能权限，如是否可看到各收费项目的点数，收入数据、成本数据等，支持每张报表的查询权限设置。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rPr>
            </w:pPr>
            <w:r>
              <w:rPr>
                <w:rFonts w:hint="eastAsia"/>
                <w:b w:val="0"/>
                <w:bCs w:val="0"/>
              </w:rPr>
              <w:t>4.日志管理：</w:t>
            </w:r>
            <w:r>
              <w:rPr>
                <w:rFonts w:hint="eastAsia"/>
              </w:rPr>
              <w:t>自动保存用户登录日志、管理员的修改记录日志。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b/>
                <w:bCs/>
              </w:rPr>
            </w:pPr>
            <w:r>
              <w:rPr>
                <w:rFonts w:hint="eastAsia"/>
                <w:b w:val="0"/>
                <w:bCs w:val="0"/>
              </w:rPr>
              <w:t>5.数据采集：</w:t>
            </w:r>
            <w:r>
              <w:rPr>
                <w:rFonts w:hint="eastAsia"/>
              </w:rPr>
              <w:t>对接医院各业务系统数据，设置每个绩效指标参数的数据提取规则，一键自动采集数据。支持表单导入、手工填报等方式采集数据。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rFonts w:hint="eastAsia"/>
                <w:b/>
                <w:bCs/>
              </w:rPr>
            </w:pPr>
            <w:r>
              <w:rPr>
                <w:rFonts w:hint="eastAsia"/>
                <w:b w:val="0"/>
                <w:bCs w:val="0"/>
              </w:rPr>
              <w:t>6.绩效奖金核算公式设置：</w:t>
            </w:r>
            <w:r>
              <w:rPr>
                <w:rFonts w:hint="eastAsia"/>
              </w:rPr>
              <w:t>支持根据职系、科室、医疗组、人员类别设置不同的绩效奖金核算公式。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val="0"/>
                <w:bCs w:val="0"/>
              </w:rPr>
              <w:t>7.多维度工作量数据处理方式</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（1）科室工作量维护</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每月自动对照HIS系统，自动在绩效管理系统更新新增科室，且标识新增科室的更新月份。</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（2）收费项目维护</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每月自动对照HIS系统，自动在绩效管理系统更新维护收费项目，且标识新增收费类别的更新月份。支持设置每个收费项目点数，包括判断点数、执行点数、护理点数、护理治疗点数等。</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▲（3）医护贡献度设置</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收费项目不同科室医护参与程度不同，系统必须支持收费项目不同科室设置不同点数，但是总点数一致。</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▲（4）节假日/周末工作量特殊处理</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b/>
                <w:bCs/>
              </w:rPr>
            </w:pPr>
            <w:r>
              <w:rPr>
                <w:rFonts w:hint="eastAsia"/>
              </w:rPr>
              <w:t>支持对节假日或周末的工作量设置特殊核算规则，或者设置不同点数。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val="0"/>
                <w:bCs w:val="0"/>
              </w:rPr>
              <w:t>8.成本数据处理方式</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（1）物资维护</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每月自动对照业务系统，自动在绩效管理系统更新新增耗材基础信息（包括编码、单价等），且标识新增耗材的更新月份。</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（2）成本核减比例设置</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支持不同类别耗材核减不同比例，支持不同编码耗材核减不同比例。支持不同来源的设备折旧核减不同比例。支持不同职工类别的人事成本核减不同比例。</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▲（3）物资领用平移设置</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如科室当月不可收费材料核减金额较高，支持此核减金额进行多月平摊。</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（4）综合病区成本分摊设置</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支持综合病区按照科室床日数、收入等分摊到相应科室。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val="0"/>
                <w:bCs w:val="0"/>
              </w:rPr>
              <w:t>9.报表查询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（1）奖金查询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奖金查询。支持各科室绩效奖金核算公式查询、各核算指标汇总查询。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（2）工作量查询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门诊、住院明细账查询。支持按照每个病人的每一笔收费明细查询，支持根据开单科室、执行科室、收费项目、收费项目、开单人、执行人汇总的收费明细。</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挂号明细账查询。支持查询具体每个病人的每一笔挂号明细。</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床日数据查询。支持查询各核算单元的床日总数，支持综合病区对应科室的床日数据查询。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（3）成本查询</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成本汇总查询。支持按照科室查询每项成本的金额。</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物资领用明细查询。支持查询科室全部的材料领用明细。</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成本分摊查询。支持查询如手术室、介入室等公共平台科室的成本分摊到临床科室的明细数据。</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ascii="宋体" w:hAnsi="宋体" w:eastAsia="宋体" w:cs="宋体"/>
                <w:sz w:val="21"/>
                <w:szCs w:val="21"/>
              </w:rPr>
            </w:pPr>
            <w:r>
              <w:rPr>
                <w:rFonts w:hint="eastAsia"/>
              </w:rPr>
              <w:t>人力成本查询。支持查询每个员工的工资明细，支持根据考勤或公式计算后得出的各核算单元奖金查询。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54"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07"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医院学科建设激励模块（CMI和优势病种激励）</w:t>
            </w: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ascii="宋体" w:hAnsi="宋体" w:eastAsia="宋体" w:cs="宋体"/>
                <w:sz w:val="21"/>
                <w:szCs w:val="21"/>
              </w:rPr>
            </w:pPr>
            <w:bookmarkStart w:id="0" w:name="_Toc11667"/>
            <w:r>
              <w:rPr>
                <w:rFonts w:hint="eastAsia"/>
              </w:rPr>
              <w:t>1</w:t>
            </w:r>
            <w:r>
              <w:t>.</w:t>
            </w:r>
            <w:r>
              <w:rPr>
                <w:rFonts w:hint="eastAsia"/>
              </w:rPr>
              <w:t>科室CMI设置：设置科室CMI目标值</w:t>
            </w:r>
            <w:r>
              <w:rPr>
                <w:rFonts w:hint="eastAsia"/>
                <w:lang w:val="en-US" w:eastAsia="zh-CN"/>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eastAsia="宋体" w:cs="Times New Roman"/>
                <w:kern w:val="2"/>
                <w:sz w:val="21"/>
                <w:szCs w:val="20"/>
                <w:lang w:val="en-US" w:eastAsia="zh-CN" w:bidi="ar-SA"/>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Calibri" w:hAnsi="Calibri" w:eastAsia="宋体" w:cs="Times New Roman"/>
                <w:kern w:val="2"/>
                <w:sz w:val="21"/>
                <w:szCs w:val="20"/>
                <w:lang w:val="en-US" w:eastAsia="zh-CN" w:bidi="ar-SA"/>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eastAsia="宋体" w:cs="Times New Roman"/>
                <w:kern w:val="2"/>
                <w:sz w:val="21"/>
                <w:szCs w:val="20"/>
                <w:lang w:val="en-US" w:eastAsia="zh-CN" w:bidi="ar-SA"/>
              </w:rPr>
            </w:pPr>
            <w:r>
              <w:rPr>
                <w:rFonts w:hint="eastAsia"/>
              </w:rPr>
              <w:t>2.数据采集：自动采集病案系统出院患者主诊断。支持表单导入、手工填报等方式采集数据。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eastAsia="宋体" w:cs="Times New Roman"/>
                <w:kern w:val="2"/>
                <w:sz w:val="21"/>
                <w:szCs w:val="20"/>
                <w:lang w:val="en-US" w:eastAsia="zh-CN" w:bidi="ar-SA"/>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Calibri" w:hAnsi="Calibri" w:eastAsia="宋体" w:cs="Times New Roman"/>
                <w:kern w:val="2"/>
                <w:sz w:val="21"/>
                <w:szCs w:val="20"/>
                <w:lang w:val="en-US" w:eastAsia="zh-CN" w:bidi="ar-SA"/>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eastAsia="宋体" w:cs="Times New Roman"/>
                <w:kern w:val="2"/>
                <w:sz w:val="21"/>
                <w:szCs w:val="20"/>
                <w:lang w:val="en-US" w:eastAsia="zh-CN" w:bidi="ar-SA"/>
              </w:rPr>
            </w:pPr>
            <w:r>
              <w:rPr>
                <w:rFonts w:hint="eastAsia"/>
              </w:rPr>
              <w:t>▲3.核算设置：支持设置CMI、计算公式、奖励系数设置；支持批量将上月公式复制到本月</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eastAsia="宋体" w:cs="Times New Roman"/>
                <w:kern w:val="2"/>
                <w:sz w:val="21"/>
                <w:szCs w:val="20"/>
                <w:lang w:val="en-US" w:eastAsia="zh-CN" w:bidi="ar-SA"/>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Calibri" w:hAnsi="Calibri" w:eastAsia="宋体" w:cs="Times New Roman"/>
                <w:kern w:val="2"/>
                <w:sz w:val="21"/>
                <w:szCs w:val="20"/>
                <w:lang w:val="en-US" w:eastAsia="zh-CN" w:bidi="ar-SA"/>
              </w:rPr>
            </w:pPr>
          </w:p>
        </w:tc>
        <w:tc>
          <w:tcPr>
            <w:tcW w:w="6518" w:type="dxa"/>
            <w:vAlign w:val="center"/>
          </w:tcPr>
          <w:p>
            <w:pPr>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eastAsia="宋体" w:cs="Times New Roman"/>
                <w:kern w:val="2"/>
                <w:sz w:val="21"/>
                <w:szCs w:val="20"/>
                <w:lang w:val="en-US" w:eastAsia="zh-CN" w:bidi="ar-SA"/>
              </w:rPr>
            </w:pPr>
            <w:r>
              <w:rPr>
                <w:rFonts w:hint="eastAsia"/>
                <w:lang w:val="en-US" w:eastAsia="zh-CN"/>
              </w:rPr>
              <w:t>4.</w:t>
            </w:r>
            <w:r>
              <w:rPr>
                <w:rFonts w:hint="eastAsia"/>
              </w:rPr>
              <w:t>报表查询：提供CMI按照科室查询分析；提供查看出院绩效核算结果，同比环比对比分析；支持科室查看出院患者明细表。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default" w:ascii="Calibri" w:hAnsi="Calibri" w:eastAsia="宋体" w:cs="Times New Roman"/>
                <w:kern w:val="2"/>
                <w:sz w:val="21"/>
                <w:szCs w:val="20"/>
                <w:lang w:val="en-US" w:eastAsia="zh-CN" w:bidi="ar-SA"/>
              </w:rPr>
            </w:pPr>
            <w:r>
              <w:rPr>
                <w:rFonts w:hint="eastAsia" w:eastAsia="宋体" w:cs="Times New Roman"/>
                <w:kern w:val="2"/>
                <w:sz w:val="21"/>
                <w:szCs w:val="20"/>
                <w:lang w:val="en-US" w:eastAsia="zh-CN" w:bidi="ar-SA"/>
              </w:rPr>
              <w:t>3</w:t>
            </w:r>
          </w:p>
        </w:tc>
        <w:tc>
          <w:tcPr>
            <w:tcW w:w="1807"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Calibri" w:hAnsi="Calibri" w:eastAsia="宋体" w:cs="Times New Roman"/>
                <w:kern w:val="2"/>
                <w:sz w:val="21"/>
                <w:szCs w:val="20"/>
                <w:lang w:val="en-US" w:eastAsia="zh-CN" w:bidi="ar-SA"/>
              </w:rPr>
            </w:pPr>
            <w:r>
              <w:rPr>
                <w:rFonts w:hint="eastAsia" w:eastAsia="宋体" w:cs="Times New Roman"/>
                <w:kern w:val="2"/>
                <w:sz w:val="21"/>
                <w:szCs w:val="20"/>
                <w:lang w:val="en-US" w:eastAsia="zh-CN" w:bidi="ar-SA"/>
              </w:rPr>
              <w:t>绩效奖金</w:t>
            </w:r>
            <w:r>
              <w:rPr>
                <w:rFonts w:hint="eastAsia" w:ascii="Calibri" w:hAnsi="Calibri" w:eastAsia="宋体" w:cs="Times New Roman"/>
                <w:kern w:val="2"/>
                <w:sz w:val="21"/>
                <w:szCs w:val="20"/>
                <w:lang w:val="en-US" w:eastAsia="zh-CN" w:bidi="ar-SA"/>
              </w:rPr>
              <w:t>二次分配模块</w:t>
            </w:r>
          </w:p>
        </w:tc>
        <w:tc>
          <w:tcPr>
            <w:tcW w:w="6518" w:type="dxa"/>
            <w:vAlign w:val="center"/>
          </w:tcPr>
          <w:p>
            <w:pPr>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1.科室可通过系统上传员工绩效</w:t>
            </w:r>
            <w:r>
              <w:rPr>
                <w:rFonts w:hint="eastAsia" w:eastAsia="宋体" w:cs="Times New Roman"/>
                <w:kern w:val="2"/>
                <w:sz w:val="21"/>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s="宋体"/>
                <w:sz w:val="21"/>
                <w:szCs w:val="21"/>
                <w:lang w:val="en-US" w:eastAsia="zh-CN"/>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eastAsia="宋体" w:cs="Times New Roman"/>
                <w:kern w:val="2"/>
                <w:sz w:val="21"/>
                <w:szCs w:val="20"/>
                <w:lang w:val="en-US" w:eastAsia="zh-CN" w:bidi="ar-SA"/>
              </w:rPr>
              <w:t>2</w:t>
            </w:r>
            <w:r>
              <w:rPr>
                <w:rFonts w:hint="eastAsia" w:ascii="Calibri" w:hAnsi="Calibri" w:eastAsia="宋体" w:cs="Times New Roman"/>
                <w:kern w:val="2"/>
                <w:sz w:val="21"/>
                <w:szCs w:val="20"/>
                <w:lang w:val="en-US" w:eastAsia="zh-CN" w:bidi="ar-SA"/>
              </w:rPr>
              <w:t>.设置科室奖金上下限，超过上限绩效可留存，低于下限可预支</w:t>
            </w:r>
            <w:r>
              <w:rPr>
                <w:rFonts w:hint="eastAsia" w:eastAsia="宋体" w:cs="Times New Roman"/>
                <w:kern w:val="2"/>
                <w:sz w:val="21"/>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807" w:type="dxa"/>
            <w:vMerge w:val="restart"/>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DRG环境下的绩效奖金模块</w:t>
            </w: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1.数据查询：支持查看病案首页、正式医保数据。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cs="宋体"/>
                <w:sz w:val="21"/>
                <w:szCs w:val="21"/>
                <w:lang w:val="en-US" w:eastAsia="zh-CN"/>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2.基础设置：支持病种核算规则、病种费用基准设置。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lang w:val="en-US" w:eastAsia="zh-CN"/>
              </w:rPr>
            </w:pPr>
          </w:p>
        </w:tc>
        <w:tc>
          <w:tcPr>
            <w:tcW w:w="1807" w:type="dxa"/>
            <w:vMerge w:val="continue"/>
            <w:vAlign w:val="center"/>
          </w:tcPr>
          <w:p>
            <w:pPr>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1"/>
                <w:szCs w:val="21"/>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ascii="宋体" w:hAnsi="宋体" w:eastAsia="宋体" w:cs="宋体"/>
                <w:sz w:val="21"/>
                <w:szCs w:val="21"/>
              </w:rPr>
            </w:pPr>
            <w:r>
              <w:rPr>
                <w:rFonts w:hint="eastAsia"/>
              </w:rPr>
              <w:t>3.绩效查询：支持查询住院日绩效明细、费用绩效明细、病种奖惩汇总及明细以及按科室查询各项奖惩汇总数据。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restart"/>
            <w:vAlign w:val="center"/>
          </w:tcPr>
          <w:p>
            <w:pPr>
              <w:pStyle w:val="7"/>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b w:val="0"/>
                <w:bCs w:val="0"/>
                <w:kern w:val="2"/>
                <w:sz w:val="21"/>
                <w:szCs w:val="21"/>
                <w:lang w:val="en-US" w:eastAsia="zh-CN" w:bidi="ar-SA"/>
              </w:rPr>
            </w:pPr>
            <w:bookmarkStart w:id="1" w:name="_Toc2028"/>
            <w:r>
              <w:rPr>
                <w:rFonts w:hint="eastAsia" w:ascii="宋体" w:hAnsi="宋体" w:eastAsia="宋体" w:cs="宋体"/>
                <w:b w:val="0"/>
                <w:bCs w:val="0"/>
                <w:kern w:val="2"/>
                <w:sz w:val="21"/>
                <w:szCs w:val="21"/>
                <w:lang w:val="en-US" w:eastAsia="zh-CN" w:bidi="ar-SA"/>
              </w:rPr>
              <w:t>5</w:t>
            </w:r>
          </w:p>
        </w:tc>
        <w:tc>
          <w:tcPr>
            <w:tcW w:w="1807" w:type="dxa"/>
            <w:vMerge w:val="restart"/>
            <w:vAlign w:val="center"/>
          </w:tcPr>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质量考核（含三级</w:t>
            </w:r>
          </w:p>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公立综合医院绩</w:t>
            </w:r>
          </w:p>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效考核）指标模块</w:t>
            </w: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val="0"/>
                <w:bCs w:val="0"/>
              </w:rPr>
              <w:t>1.数据集成自动采集管理</w:t>
            </w:r>
          </w:p>
          <w:p>
            <w:pPr>
              <w:pStyle w:val="8"/>
              <w:pageBreakBefore w:val="0"/>
              <w:widowControl w:val="0"/>
              <w:kinsoku/>
              <w:wordWrap/>
              <w:overflowPunct/>
              <w:topLinePunct w:val="0"/>
              <w:autoSpaceDE/>
              <w:autoSpaceDN/>
              <w:bidi w:val="0"/>
              <w:adjustRightInd/>
              <w:spacing w:line="420" w:lineRule="exact"/>
              <w:ind w:firstLine="480"/>
              <w:jc w:val="both"/>
              <w:textAlignment w:val="auto"/>
            </w:pPr>
            <w:r>
              <w:rPr>
                <w:rFonts w:hint="eastAsia"/>
              </w:rPr>
              <w:t>所有数据优先从已有工作量绩效系统提取，工作量绩效系统缺失数据，则对接医院业务系统，实现一键采集，关键数据信息自动生成，确保指标结果考核结果真实客观。</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无业务系统对接数据，则建立指标录入模块，由医院人工勾选或填报，并通过系统的权限分配功能，固化填报部门。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Style w:val="7"/>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val="0"/>
                <w:bCs w:val="0"/>
                <w:kern w:val="2"/>
                <w:sz w:val="21"/>
                <w:szCs w:val="21"/>
                <w:lang w:val="en-US" w:eastAsia="zh-CN" w:bidi="ar-SA"/>
              </w:rPr>
            </w:pPr>
          </w:p>
        </w:tc>
        <w:tc>
          <w:tcPr>
            <w:tcW w:w="1807" w:type="dxa"/>
            <w:vMerge w:val="continue"/>
            <w:vAlign w:val="center"/>
          </w:tcPr>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b w:val="0"/>
                <w:bCs w:val="0"/>
                <w:kern w:val="2"/>
                <w:sz w:val="21"/>
                <w:szCs w:val="21"/>
                <w:lang w:val="en-US" w:eastAsia="zh-CN" w:bidi="ar-SA"/>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bCs/>
              </w:rPr>
              <w:t>▲</w:t>
            </w:r>
            <w:r>
              <w:rPr>
                <w:rFonts w:hint="eastAsia"/>
                <w:b w:val="0"/>
                <w:bCs w:val="0"/>
              </w:rPr>
              <w:t>2.对标医院关键指标对比显示功能</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支持设置医院指标的目标值，修正数据。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54" w:type="dxa"/>
            <w:vMerge w:val="continue"/>
            <w:vAlign w:val="center"/>
          </w:tcPr>
          <w:p>
            <w:pPr>
              <w:pStyle w:val="7"/>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b w:val="0"/>
                <w:bCs w:val="0"/>
                <w:kern w:val="2"/>
                <w:sz w:val="21"/>
                <w:szCs w:val="21"/>
                <w:lang w:val="en-US" w:eastAsia="zh-CN" w:bidi="ar-SA"/>
              </w:rPr>
            </w:pPr>
          </w:p>
          <w:bookmarkEnd w:id="1"/>
        </w:tc>
        <w:tc>
          <w:tcPr>
            <w:tcW w:w="1807" w:type="dxa"/>
            <w:vMerge w:val="continue"/>
            <w:vAlign w:val="center"/>
          </w:tcPr>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sz w:val="21"/>
                <w:szCs w:val="21"/>
              </w:rPr>
            </w:pPr>
          </w:p>
        </w:tc>
        <w:tc>
          <w:tcPr>
            <w:tcW w:w="6518" w:type="dxa"/>
            <w:vAlign w:val="center"/>
          </w:tcPr>
          <w:p>
            <w:pPr>
              <w:pStyle w:val="8"/>
              <w:pageBreakBefore w:val="0"/>
              <w:widowControl w:val="0"/>
              <w:kinsoku/>
              <w:wordWrap/>
              <w:overflowPunct/>
              <w:topLinePunct w:val="0"/>
              <w:autoSpaceDE/>
              <w:autoSpaceDN/>
              <w:bidi w:val="0"/>
              <w:adjustRightInd/>
              <w:spacing w:line="420" w:lineRule="exact"/>
              <w:ind w:firstLine="482"/>
              <w:jc w:val="both"/>
              <w:textAlignment w:val="auto"/>
              <w:rPr>
                <w:b w:val="0"/>
                <w:bCs w:val="0"/>
              </w:rPr>
            </w:pPr>
            <w:r>
              <w:rPr>
                <w:rFonts w:hint="eastAsia"/>
                <w:b w:val="0"/>
                <w:bCs w:val="0"/>
              </w:rPr>
              <w:t>3.指标统计与分析</w:t>
            </w:r>
          </w:p>
          <w:p>
            <w:pPr>
              <w:pStyle w:val="8"/>
              <w:pageBreakBefore w:val="0"/>
              <w:widowControl w:val="0"/>
              <w:kinsoku/>
              <w:wordWrap/>
              <w:overflowPunct/>
              <w:topLinePunct w:val="0"/>
              <w:autoSpaceDE/>
              <w:autoSpaceDN/>
              <w:bidi w:val="0"/>
              <w:adjustRightInd/>
              <w:spacing w:line="420" w:lineRule="exact"/>
              <w:ind w:firstLine="480"/>
              <w:jc w:val="both"/>
              <w:textAlignment w:val="auto"/>
              <w:rPr>
                <w:rFonts w:hint="eastAsia"/>
              </w:rPr>
            </w:pPr>
            <w:r>
              <w:rPr>
                <w:rFonts w:hint="eastAsia"/>
              </w:rPr>
              <w:t>系统预设形式多样的报表，能够按照时间区间、科室、同类型指标等因素进行同比、环比分析。支持各类型图表展示，包括柱状图、折线图、雷达图等。</w:t>
            </w:r>
          </w:p>
        </w:tc>
      </w:tr>
    </w:tbl>
    <w:p>
      <w:pPr>
        <w:pageBreakBefore w:val="0"/>
        <w:widowControl w:val="0"/>
        <w:kinsoku/>
        <w:wordWrap/>
        <w:overflowPunct/>
        <w:topLinePunct w:val="0"/>
        <w:autoSpaceDE/>
        <w:autoSpaceDN/>
        <w:bidi w:val="0"/>
        <w:adjustRightInd/>
        <w:spacing w:before="120" w:line="420" w:lineRule="exact"/>
        <w:jc w:val="left"/>
        <w:textAlignment w:val="auto"/>
        <w:rPr>
          <w:rFonts w:hint="eastAsia" w:ascii="宋体" w:hAnsi="宋体" w:eastAsia="宋体" w:cs="宋体"/>
          <w:color w:val="333333"/>
          <w:szCs w:val="21"/>
          <w:shd w:val="clear" w:color="auto" w:fill="FFFFFF"/>
          <w:lang w:eastAsia="zh-CN"/>
        </w:rPr>
      </w:pPr>
      <w:r>
        <w:rPr>
          <w:rFonts w:hint="eastAsia" w:ascii="宋体" w:hAnsi="宋体" w:cs="宋体"/>
          <w:szCs w:val="21"/>
        </w:rPr>
        <w:t>注：标</w:t>
      </w:r>
      <w:r>
        <w:rPr>
          <w:rFonts w:hint="eastAsia"/>
          <w:b/>
          <w:bCs/>
        </w:rPr>
        <w:t>▲</w:t>
      </w:r>
      <w:r>
        <w:rPr>
          <w:rFonts w:hint="eastAsia" w:ascii="Calibri" w:hAnsi="Calibri" w:eastAsia="宋体" w:cs="Times New Roman"/>
          <w:kern w:val="2"/>
          <w:sz w:val="21"/>
          <w:szCs w:val="20"/>
          <w:lang w:val="en-US" w:eastAsia="zh-CN" w:bidi="ar-SA"/>
        </w:rPr>
        <w:t>为关键指标项，为必展示内容，需提供截图，如不满足要求严重负偏离影响投标产品服务、性能的，经半数以上评委认定，本项不得分。</w:t>
      </w:r>
    </w:p>
    <w:p>
      <w:pPr>
        <w:pStyle w:val="9"/>
        <w:pageBreakBefore w:val="0"/>
        <w:widowControl w:val="0"/>
        <w:kinsoku/>
        <w:wordWrap/>
        <w:overflowPunct/>
        <w:topLinePunct w:val="0"/>
        <w:autoSpaceDE/>
        <w:autoSpaceDN/>
        <w:bidi w:val="0"/>
        <w:adjustRightInd/>
        <w:spacing w:line="420" w:lineRule="exact"/>
        <w:textAlignment w:val="auto"/>
      </w:pPr>
    </w:p>
    <w:p>
      <w:pPr>
        <w:pStyle w:val="30"/>
        <w:pageBreakBefore w:val="0"/>
        <w:widowControl w:val="0"/>
        <w:numPr>
          <w:ilvl w:val="0"/>
          <w:numId w:val="5"/>
        </w:numPr>
        <w:kinsoku/>
        <w:wordWrap/>
        <w:overflowPunct/>
        <w:topLinePunct w:val="0"/>
        <w:autoSpaceDE/>
        <w:autoSpaceDN/>
        <w:bidi w:val="0"/>
        <w:adjustRightInd/>
        <w:spacing w:line="420" w:lineRule="exact"/>
        <w:ind w:firstLine="0" w:firstLineChars="0"/>
        <w:textAlignment w:val="auto"/>
        <w:rPr>
          <w:rFonts w:hint="eastAsia"/>
        </w:rPr>
      </w:pPr>
      <w:r>
        <w:rPr>
          <w:rFonts w:hint="eastAsia" w:ascii="宋体" w:hAnsi="宋体"/>
          <w:b/>
          <w:kern w:val="0"/>
          <w:sz w:val="21"/>
          <w:szCs w:val="21"/>
        </w:rPr>
        <w:t>系统技术要求</w:t>
      </w:r>
    </w:p>
    <w:tbl>
      <w:tblPr>
        <w:tblStyle w:val="21"/>
        <w:tblW w:w="9840"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810" w:type="dxa"/>
            <w:vAlign w:val="center"/>
          </w:tcPr>
          <w:p>
            <w:pPr>
              <w:pStyle w:val="2"/>
              <w:pageBreakBefore w:val="0"/>
              <w:widowControl w:val="0"/>
              <w:tabs>
                <w:tab w:val="center" w:pos="4153"/>
                <w:tab w:val="right" w:pos="8306"/>
              </w:tabs>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sz w:val="21"/>
                <w:szCs w:val="21"/>
              </w:rPr>
            </w:pPr>
            <w:bookmarkStart w:id="2" w:name="_Toc89768919"/>
            <w:r>
              <w:rPr>
                <w:rFonts w:hint="eastAsia" w:ascii="宋体" w:hAnsi="宋体" w:eastAsia="宋体" w:cs="宋体"/>
                <w:sz w:val="21"/>
                <w:szCs w:val="21"/>
              </w:rPr>
              <w:t>系统技术要求</w:t>
            </w:r>
            <w:bookmarkEnd w:id="2"/>
          </w:p>
          <w:p>
            <w:pPr>
              <w:pStyle w:val="2"/>
              <w:pageBreakBefore w:val="0"/>
              <w:widowControl w:val="0"/>
              <w:tabs>
                <w:tab w:val="center" w:pos="4153"/>
                <w:tab w:val="right" w:pos="8306"/>
              </w:tabs>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sz w:val="21"/>
                <w:szCs w:val="21"/>
              </w:rPr>
            </w:pPr>
          </w:p>
        </w:tc>
        <w:tc>
          <w:tcPr>
            <w:tcW w:w="7030" w:type="dxa"/>
            <w:vAlign w:val="center"/>
          </w:tcPr>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1．支持最新Web Services标准，包括SOAP 1.1/1.2、WSDL 1.1、MTOM/XOP、WS-I Basic Profile 1.1等，支持Web Services自有的安全性WS-Security和寻址功能WS-Addressing，可以实现Web Services 同步和异步不同形式的调用。 </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2．产品内置定时触发组件，根据需要灵活实现定时、定点、一定时间间隔等多种方式的主动数据处理模式。</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3．提供可靠的数据或消息传输，确保消息传输的最简化连接方式，如支持 IBM WebSphere MQ、Tibco EMS、ActiveMQ等标准消息中间件，支持JMS最新标准。</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4．支持灵活和开放的协议支持，包括HTTP/HTTPS、JMS、FTP/File、Socket、POP3/SMTP、SOAP/HTTP、SOAP/JMS、COBRA等。</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5.支持多种硬件服务器，包括IBM、HP、SUN等，同时能够提供对32位和64位的部署。</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6.主流操作系统的支持，包含了AIX、HP-UX、Solaris、RedHat Linux、SUSE Linux、RedFlag Linux、Windows等</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7.具有良好的扩展性，提供软件级别的垂直扩展和水平扩展两种方式；支持集群部署，可以实现数据的动态负载均衡。</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8.具备高性能处理能力，尤其对于XML数据的校验和解析、XSLT解析、非XML报文的处理、路由和过滤、数据库操作、Web Services调用等都要满足高性能要求，提供动态的缓存机制，保证数据能够在内存中最快速的处理。</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9.高可用性，保证平台7*24小时的运行；提供高稳定性，保证在数据量或应用连接数高峰运行时的系统运行正常，保障持久化的系统运行。</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10.支持Java SDK 5以上标准。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810" w:type="dxa"/>
            <w:vAlign w:val="center"/>
          </w:tcPr>
          <w:p>
            <w:pPr>
              <w:pStyle w:val="2"/>
              <w:pageBreakBefore w:val="0"/>
              <w:widowControl w:val="0"/>
              <w:tabs>
                <w:tab w:val="center" w:pos="4153"/>
                <w:tab w:val="right" w:pos="8306"/>
              </w:tabs>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sz w:val="21"/>
                <w:szCs w:val="21"/>
              </w:rPr>
            </w:pPr>
            <w:bookmarkStart w:id="3" w:name="_Toc89768920"/>
            <w:r>
              <w:rPr>
                <w:rFonts w:hint="eastAsia" w:ascii="宋体" w:hAnsi="宋体" w:eastAsia="宋体" w:cs="宋体"/>
                <w:sz w:val="21"/>
                <w:szCs w:val="21"/>
              </w:rPr>
              <w:t>数据库技术要求</w:t>
            </w:r>
            <w:bookmarkEnd w:id="3"/>
          </w:p>
        </w:tc>
        <w:tc>
          <w:tcPr>
            <w:tcW w:w="7030" w:type="dxa"/>
            <w:vAlign w:val="center"/>
          </w:tcPr>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w:t>
            </w:r>
            <w:r>
              <w:rPr>
                <w:rFonts w:hint="eastAsia" w:ascii="宋体" w:hAnsi="宋体" w:eastAsia="宋体" w:cs="宋体"/>
                <w:sz w:val="21"/>
                <w:szCs w:val="21"/>
                <w:lang w:val="zh-CN"/>
              </w:rPr>
              <w:t>与</w:t>
            </w:r>
            <w:r>
              <w:rPr>
                <w:rFonts w:hint="eastAsia" w:ascii="宋体" w:hAnsi="宋体" w:eastAsia="宋体" w:cs="宋体"/>
                <w:sz w:val="21"/>
                <w:szCs w:val="21"/>
              </w:rPr>
              <w:t>oracle</w:t>
            </w:r>
            <w:r>
              <w:rPr>
                <w:rFonts w:hint="eastAsia" w:ascii="宋体" w:hAnsi="宋体" w:eastAsia="宋体" w:cs="宋体"/>
                <w:sz w:val="21"/>
                <w:szCs w:val="21"/>
                <w:lang w:val="zh-CN"/>
              </w:rPr>
              <w:t>、</w:t>
            </w:r>
            <w:r>
              <w:rPr>
                <w:rFonts w:hint="eastAsia" w:ascii="宋体" w:hAnsi="宋体" w:eastAsia="宋体" w:cs="宋体"/>
                <w:sz w:val="21"/>
                <w:szCs w:val="21"/>
              </w:rPr>
              <w:t>DB2</w:t>
            </w:r>
            <w:r>
              <w:rPr>
                <w:rFonts w:hint="eastAsia" w:ascii="宋体" w:hAnsi="宋体" w:eastAsia="宋体" w:cs="宋体"/>
                <w:sz w:val="21"/>
                <w:szCs w:val="21"/>
                <w:lang w:val="zh-CN"/>
              </w:rPr>
              <w:t>、</w:t>
            </w:r>
            <w:r>
              <w:rPr>
                <w:rFonts w:hint="eastAsia" w:ascii="宋体" w:hAnsi="宋体" w:eastAsia="宋体" w:cs="宋体"/>
                <w:sz w:val="21"/>
                <w:szCs w:val="21"/>
              </w:rPr>
              <w:t>MYSQL</w:t>
            </w:r>
            <w:r>
              <w:rPr>
                <w:rFonts w:hint="eastAsia" w:ascii="宋体" w:hAnsi="宋体" w:eastAsia="宋体" w:cs="宋体"/>
                <w:sz w:val="21"/>
                <w:szCs w:val="21"/>
                <w:lang w:val="zh-CN"/>
              </w:rPr>
              <w:t>、</w:t>
            </w:r>
            <w:r>
              <w:rPr>
                <w:rFonts w:hint="eastAsia" w:ascii="宋体" w:hAnsi="宋体" w:eastAsia="宋体" w:cs="宋体"/>
                <w:sz w:val="21"/>
                <w:szCs w:val="21"/>
              </w:rPr>
              <w:t>SQL SERVER</w:t>
            </w:r>
            <w:r>
              <w:rPr>
                <w:rFonts w:hint="eastAsia" w:ascii="宋体" w:hAnsi="宋体" w:eastAsia="宋体" w:cs="宋体"/>
                <w:sz w:val="21"/>
                <w:szCs w:val="21"/>
                <w:lang w:val="zh-CN"/>
              </w:rPr>
              <w:t>等数据库的数据交换技术。</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2．能与医院HIS、病案、财务、考勤、物资、HRP等业务系统进行数据交换，及时更新数据，提供快捷读取数据。</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zh-CN"/>
              </w:rPr>
              <w:t>3．保证数据安全性、数据的完整性、并发控制以及数据库恢复等。</w:t>
            </w:r>
          </w:p>
          <w:p>
            <w:pPr>
              <w:pStyle w:val="39"/>
              <w:pageBreakBefore w:val="0"/>
              <w:widowControl w:val="0"/>
              <w:kinsoku/>
              <w:wordWrap/>
              <w:overflowPunct/>
              <w:topLinePunct w:val="0"/>
              <w:autoSpaceDE/>
              <w:autoSpaceDN/>
              <w:bidi w:val="0"/>
              <w:adjustRightInd/>
              <w:spacing w:line="42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4．支持多数据源数据整理及运用，包括文件数据来源，用户数据来源及系统数据来源整理和运用。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810" w:type="dxa"/>
            <w:vAlign w:val="center"/>
          </w:tcPr>
          <w:p>
            <w:pPr>
              <w:pStyle w:val="2"/>
              <w:pageBreakBefore w:val="0"/>
              <w:widowControl w:val="0"/>
              <w:tabs>
                <w:tab w:val="center" w:pos="4153"/>
                <w:tab w:val="right" w:pos="8306"/>
              </w:tabs>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sz w:val="21"/>
                <w:szCs w:val="21"/>
              </w:rPr>
            </w:pPr>
            <w:bookmarkStart w:id="4" w:name="_Toc89768921"/>
            <w:r>
              <w:rPr>
                <w:rFonts w:hint="eastAsia" w:ascii="宋体" w:hAnsi="宋体" w:eastAsia="宋体" w:cs="宋体"/>
                <w:sz w:val="21"/>
                <w:szCs w:val="21"/>
              </w:rPr>
              <w:t>接口要求</w:t>
            </w:r>
            <w:bookmarkEnd w:id="4"/>
          </w:p>
        </w:tc>
        <w:tc>
          <w:tcPr>
            <w:tcW w:w="7030" w:type="dxa"/>
            <w:vAlign w:val="center"/>
          </w:tcPr>
          <w:p>
            <w:pPr>
              <w:pStyle w:val="8"/>
              <w:pageBreakBefore w:val="0"/>
              <w:widowControl w:val="0"/>
              <w:kinsoku/>
              <w:wordWrap/>
              <w:overflowPunct/>
              <w:topLinePunct w:val="0"/>
              <w:autoSpaceDE/>
              <w:autoSpaceDN/>
              <w:bidi w:val="0"/>
              <w:adjustRightInd/>
              <w:spacing w:line="420" w:lineRule="exact"/>
              <w:ind w:left="0" w:leftChars="0" w:firstLine="0" w:firstLineChars="0"/>
              <w:textAlignment w:val="auto"/>
              <w:rPr>
                <w:rFonts w:hint="eastAsia" w:ascii="宋体" w:hAnsi="宋体" w:eastAsia="宋体" w:cs="宋体"/>
                <w:sz w:val="21"/>
                <w:szCs w:val="21"/>
                <w:lang w:val="zh-CN"/>
              </w:rPr>
            </w:pPr>
            <w:r>
              <w:rPr>
                <w:rFonts w:hint="eastAsia"/>
              </w:rPr>
              <w:t>系统应保证与现行系统实现有效衔接，实现信息的共享和集成，由医院承担第三方公司要求的对接接口费用。支持跨平台和开放数据接口，按照采购人要求进行源码级定制修改，能进行软件集成和系统整合。系统应保持好的扩展性，有利于逐步升级。</w:t>
            </w:r>
          </w:p>
        </w:tc>
      </w:tr>
    </w:tbl>
    <w:p>
      <w:pPr>
        <w:pStyle w:val="15"/>
        <w:pageBreakBefore w:val="0"/>
        <w:widowControl w:val="0"/>
        <w:kinsoku/>
        <w:wordWrap/>
        <w:overflowPunct/>
        <w:topLinePunct w:val="0"/>
        <w:autoSpaceDE/>
        <w:autoSpaceDN/>
        <w:bidi w:val="0"/>
        <w:adjustRightInd/>
        <w:spacing w:line="420" w:lineRule="exact"/>
        <w:textAlignment w:val="auto"/>
      </w:pPr>
    </w:p>
    <w:p>
      <w:pPr>
        <w:pStyle w:val="30"/>
        <w:pageBreakBefore w:val="0"/>
        <w:widowControl w:val="0"/>
        <w:kinsoku/>
        <w:wordWrap/>
        <w:overflowPunct/>
        <w:topLinePunct w:val="0"/>
        <w:autoSpaceDE/>
        <w:autoSpaceDN/>
        <w:bidi w:val="0"/>
        <w:adjustRightInd/>
        <w:spacing w:line="420" w:lineRule="exact"/>
        <w:ind w:firstLine="0" w:firstLineChars="0"/>
        <w:textAlignment w:val="auto"/>
        <w:rPr>
          <w:rFonts w:ascii="宋体" w:hAnsi="宋体"/>
          <w:b/>
          <w:kern w:val="0"/>
          <w:sz w:val="21"/>
          <w:szCs w:val="21"/>
        </w:rPr>
      </w:pPr>
      <w:r>
        <w:rPr>
          <w:rFonts w:hint="eastAsia" w:ascii="宋体" w:hAnsi="宋体"/>
          <w:b/>
          <w:kern w:val="0"/>
          <w:sz w:val="21"/>
          <w:szCs w:val="21"/>
        </w:rPr>
        <w:t>四、实施及售后服务要求：</w:t>
      </w:r>
    </w:p>
    <w:p>
      <w:pPr>
        <w:pageBreakBefore w:val="0"/>
        <w:widowControl w:val="0"/>
        <w:kinsoku/>
        <w:wordWrap/>
        <w:overflowPunct/>
        <w:topLinePunct w:val="0"/>
        <w:autoSpaceDE/>
        <w:autoSpaceDN/>
        <w:bidi w:val="0"/>
        <w:adjustRightInd/>
        <w:spacing w:line="420" w:lineRule="exact"/>
        <w:jc w:val="left"/>
        <w:textAlignment w:val="auto"/>
        <w:rPr>
          <w:rFonts w:ascii="宋体" w:hAnsi="宋体" w:cs="宋体"/>
          <w:b/>
          <w:color w:val="000000"/>
          <w:spacing w:val="6"/>
          <w:kern w:val="48"/>
          <w:sz w:val="21"/>
          <w:szCs w:val="21"/>
          <w:u w:val="none"/>
        </w:rPr>
      </w:pPr>
      <w:r>
        <w:rPr>
          <w:rFonts w:hint="eastAsia" w:ascii="宋体" w:hAnsi="宋体" w:cs="宋体"/>
          <w:b/>
          <w:color w:val="000000"/>
          <w:spacing w:val="6"/>
          <w:kern w:val="48"/>
          <w:sz w:val="21"/>
          <w:szCs w:val="21"/>
          <w:u w:val="none"/>
        </w:rPr>
        <w:t>（1）实施管理要求：</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1、</w:t>
      </w:r>
      <w:r>
        <w:rPr>
          <w:rFonts w:hint="eastAsia" w:ascii="宋体" w:hAnsi="宋体" w:eastAsia="宋体" w:cs="宋体"/>
          <w:color w:val="000000"/>
          <w:spacing w:val="6"/>
          <w:kern w:val="48"/>
          <w:sz w:val="21"/>
          <w:szCs w:val="21"/>
        </w:rPr>
        <w:t>供应商应提供高质量的实施团队，并尽快在规定的时间内完成项目的实施工作，确保软件可以按时上线运行</w:t>
      </w:r>
    </w:p>
    <w:p>
      <w:pPr>
        <w:pageBreakBefore w:val="0"/>
        <w:widowControl w:val="0"/>
        <w:kinsoku/>
        <w:wordWrap/>
        <w:overflowPunct/>
        <w:topLinePunct w:val="0"/>
        <w:autoSpaceDE/>
        <w:autoSpaceDN/>
        <w:bidi w:val="0"/>
        <w:adjustRightInd/>
        <w:spacing w:line="420" w:lineRule="exact"/>
        <w:ind w:firstLine="444" w:firstLineChars="200"/>
        <w:jc w:val="left"/>
        <w:textAlignment w:val="auto"/>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2、实施内容</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kern w:val="0"/>
          <w:sz w:val="21"/>
          <w:szCs w:val="21"/>
          <w:lang w:val="zh-CN" w:eastAsia="zh-CN" w:bidi="ar-SA"/>
        </w:rPr>
      </w:pPr>
      <w:r>
        <w:rPr>
          <w:rFonts w:hint="eastAsia" w:ascii="宋体" w:hAnsi="宋体" w:eastAsia="宋体" w:cs="宋体"/>
          <w:color w:val="000000"/>
          <w:spacing w:val="6"/>
          <w:kern w:val="48"/>
          <w:sz w:val="21"/>
          <w:szCs w:val="21"/>
        </w:rPr>
        <w:t xml:space="preserve">2.1 </w:t>
      </w:r>
      <w:r>
        <w:rPr>
          <w:rFonts w:hint="eastAsia" w:ascii="宋体" w:hAnsi="宋体" w:eastAsia="宋体" w:cs="宋体"/>
          <w:kern w:val="0"/>
          <w:sz w:val="21"/>
          <w:szCs w:val="21"/>
          <w:lang w:val="zh-CN" w:eastAsia="zh-CN" w:bidi="ar-SA"/>
        </w:rPr>
        <w:t>项目启动6个月后，必须按方案</w:t>
      </w:r>
      <w:r>
        <w:rPr>
          <w:rFonts w:hint="eastAsia" w:ascii="宋体" w:hAnsi="宋体" w:cs="宋体"/>
          <w:kern w:val="0"/>
          <w:sz w:val="21"/>
          <w:szCs w:val="21"/>
          <w:lang w:val="en-US" w:eastAsia="zh-CN" w:bidi="ar-SA"/>
        </w:rPr>
        <w:t>使用</w:t>
      </w:r>
      <w:r>
        <w:rPr>
          <w:rFonts w:hint="eastAsia" w:ascii="宋体" w:hAnsi="宋体" w:eastAsia="宋体" w:cs="宋体"/>
          <w:kern w:val="0"/>
          <w:sz w:val="21"/>
          <w:szCs w:val="21"/>
          <w:lang w:val="zh-CN" w:eastAsia="zh-CN" w:bidi="ar-SA"/>
        </w:rPr>
        <w:t>绩效管理系统如期发放第一个月绩效奖金。</w:t>
      </w:r>
    </w:p>
    <w:p>
      <w:pPr>
        <w:pStyle w:val="8"/>
        <w:pageBreakBefore w:val="0"/>
        <w:widowControl w:val="0"/>
        <w:kinsoku/>
        <w:wordWrap/>
        <w:overflowPunct/>
        <w:topLinePunct w:val="0"/>
        <w:autoSpaceDE/>
        <w:autoSpaceDN/>
        <w:bidi w:val="0"/>
        <w:adjustRightInd/>
        <w:spacing w:line="420" w:lineRule="exact"/>
        <w:ind w:firstLine="480"/>
        <w:textAlignment w:val="auto"/>
        <w:rPr>
          <w:rFonts w:eastAsia="PMingLiU"/>
          <w:color w:val="C00000"/>
        </w:rPr>
      </w:pPr>
      <w:r>
        <w:rPr>
          <w:rFonts w:hint="eastAsia" w:ascii="宋体" w:hAnsi="宋体" w:cs="宋体"/>
          <w:kern w:val="0"/>
          <w:sz w:val="21"/>
          <w:szCs w:val="21"/>
          <w:lang w:val="en-US" w:eastAsia="zh-CN" w:bidi="ar-SA"/>
        </w:rPr>
        <w:t xml:space="preserve">2.2 </w:t>
      </w:r>
      <w:r>
        <w:rPr>
          <w:rFonts w:hint="eastAsia"/>
          <w:lang w:val="en-US" w:eastAsia="zh-CN"/>
        </w:rPr>
        <w:t>供应商</w:t>
      </w:r>
      <w:r>
        <w:rPr>
          <w:rFonts w:hint="eastAsia"/>
        </w:rPr>
        <w:t>需对医院相关责任人进行全方位的培训及带教，及时解答项目组人员提出的问题及解决方法，并提供详细的培训计划。项目过程中要持续向院领导、职代会、各核算单元进行宣讲辅导和答疑，并针对院方的相关问题提出合理化建议。</w:t>
      </w:r>
    </w:p>
    <w:p>
      <w:pPr>
        <w:pStyle w:val="7"/>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b/>
          <w:bCs w:val="0"/>
          <w:color w:val="000000"/>
          <w:spacing w:val="6"/>
          <w:kern w:val="48"/>
          <w:sz w:val="21"/>
          <w:szCs w:val="21"/>
          <w:u w:val="none"/>
          <w:lang w:val="en-US" w:eastAsia="zh-CN" w:bidi="ar-SA"/>
        </w:rPr>
      </w:pPr>
      <w:r>
        <w:rPr>
          <w:rFonts w:hint="eastAsia" w:ascii="宋体" w:hAnsi="宋体" w:eastAsia="宋体" w:cs="宋体"/>
          <w:b/>
          <w:bCs w:val="0"/>
          <w:color w:val="000000"/>
          <w:spacing w:val="6"/>
          <w:kern w:val="48"/>
          <w:sz w:val="21"/>
          <w:szCs w:val="21"/>
          <w:u w:val="none"/>
          <w:lang w:val="en-US" w:eastAsia="zh-CN" w:bidi="ar-SA"/>
        </w:rPr>
        <w:t>（2）</w:t>
      </w:r>
      <w:bookmarkStart w:id="5" w:name="_Toc75796287"/>
      <w:bookmarkStart w:id="6" w:name="_Toc30206"/>
      <w:r>
        <w:rPr>
          <w:rFonts w:hint="eastAsia" w:ascii="宋体" w:hAnsi="宋体" w:eastAsia="宋体" w:cs="宋体"/>
          <w:b/>
          <w:bCs w:val="0"/>
          <w:color w:val="000000"/>
          <w:spacing w:val="6"/>
          <w:kern w:val="48"/>
          <w:sz w:val="21"/>
          <w:szCs w:val="21"/>
          <w:u w:val="none"/>
          <w:lang w:val="en-US" w:eastAsia="zh-CN" w:bidi="ar-SA"/>
        </w:rPr>
        <w:t>售后服务要求</w:t>
      </w:r>
      <w:bookmarkEnd w:id="5"/>
      <w:bookmarkEnd w:id="6"/>
      <w:r>
        <w:rPr>
          <w:rFonts w:hint="eastAsia" w:ascii="宋体" w:hAnsi="宋体" w:eastAsia="宋体" w:cs="宋体"/>
          <w:b/>
          <w:bCs w:val="0"/>
          <w:color w:val="000000"/>
          <w:spacing w:val="6"/>
          <w:kern w:val="48"/>
          <w:sz w:val="21"/>
          <w:szCs w:val="21"/>
          <w:u w:val="none"/>
          <w:lang w:val="en-US" w:eastAsia="zh-CN" w:bidi="ar-SA"/>
        </w:rPr>
        <w:t>：</w:t>
      </w:r>
      <w:bookmarkStart w:id="7" w:name="_Toc12552"/>
    </w:p>
    <w:p>
      <w:pPr>
        <w:pStyle w:val="7"/>
        <w:pageBreakBefore w:val="0"/>
        <w:widowControl w:val="0"/>
        <w:kinsoku/>
        <w:wordWrap/>
        <w:overflowPunct/>
        <w:topLinePunct w:val="0"/>
        <w:autoSpaceDE/>
        <w:autoSpaceDN/>
        <w:bidi w:val="0"/>
        <w:adjustRightInd/>
        <w:spacing w:line="420" w:lineRule="exact"/>
        <w:ind w:left="0" w:leftChars="0" w:firstLine="446" w:firstLineChars="200"/>
        <w:textAlignment w:val="auto"/>
        <w:rPr>
          <w:rFonts w:hint="eastAsia" w:ascii="宋体" w:hAnsi="宋体" w:eastAsia="宋体" w:cs="宋体"/>
          <w:sz w:val="21"/>
          <w:szCs w:val="21"/>
        </w:rPr>
      </w:pPr>
      <w:r>
        <w:rPr>
          <w:rFonts w:hint="eastAsia" w:ascii="宋体" w:hAnsi="宋体" w:eastAsia="宋体" w:cs="宋体"/>
          <w:b/>
          <w:bCs w:val="0"/>
          <w:color w:val="000000"/>
          <w:spacing w:val="6"/>
          <w:kern w:val="48"/>
          <w:sz w:val="21"/>
          <w:szCs w:val="21"/>
          <w:u w:val="none"/>
          <w:lang w:val="en-US" w:eastAsia="zh-CN" w:bidi="ar-SA"/>
        </w:rPr>
        <w:t>1、</w:t>
      </w:r>
      <w:r>
        <w:rPr>
          <w:rFonts w:hint="eastAsia" w:ascii="宋体" w:hAnsi="宋体" w:eastAsia="宋体" w:cs="宋体"/>
          <w:sz w:val="21"/>
          <w:szCs w:val="21"/>
        </w:rPr>
        <w:t>免费维护服务期限要求</w:t>
      </w:r>
      <w:bookmarkEnd w:id="7"/>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免费维护服务期为一年，从本项目最终验收合格之日起计算，包括免费升级和人工保修维护服务，质保期免维修费用，免上门费。</w:t>
      </w:r>
    </w:p>
    <w:p>
      <w:pPr>
        <w:pStyle w:val="10"/>
        <w:pageBreakBefore w:val="0"/>
        <w:widowControl w:val="0"/>
        <w:numPr>
          <w:ilvl w:val="2"/>
          <w:numId w:val="0"/>
        </w:numPr>
        <w:kinsoku/>
        <w:wordWrap/>
        <w:overflowPunct/>
        <w:topLinePunct w:val="0"/>
        <w:autoSpaceDE/>
        <w:autoSpaceDN/>
        <w:bidi w:val="0"/>
        <w:adjustRightInd/>
        <w:spacing w:line="420" w:lineRule="exact"/>
        <w:ind w:leftChars="0" w:firstLine="422" w:firstLineChars="200"/>
        <w:textAlignment w:val="auto"/>
        <w:rPr>
          <w:rFonts w:hint="eastAsia" w:ascii="宋体" w:hAnsi="宋体" w:eastAsia="宋体" w:cs="宋体"/>
          <w:sz w:val="21"/>
          <w:szCs w:val="21"/>
        </w:rPr>
      </w:pPr>
      <w:bookmarkStart w:id="8" w:name="_Toc427"/>
      <w:r>
        <w:rPr>
          <w:rFonts w:hint="eastAsia" w:ascii="宋体" w:hAnsi="宋体" w:eastAsia="宋体" w:cs="宋体"/>
          <w:sz w:val="21"/>
          <w:szCs w:val="21"/>
          <w:lang w:val="en-US" w:eastAsia="zh-CN"/>
        </w:rPr>
        <w:t>2、</w:t>
      </w:r>
      <w:r>
        <w:rPr>
          <w:rFonts w:hint="eastAsia" w:ascii="宋体" w:hAnsi="宋体" w:eastAsia="宋体" w:cs="宋体"/>
          <w:sz w:val="21"/>
          <w:szCs w:val="21"/>
        </w:rPr>
        <w:t>绩效咨询售后服务范围</w:t>
      </w:r>
      <w:bookmarkEnd w:id="8"/>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（1）医院绩效政策调整时的管理咨询与相应调整服务。</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（2）根据科室反馈意见，提供相应的咨询管理建议。</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（3）科室新增或变动诊疗项目时，提供相应的咨询管理服务。</w:t>
      </w:r>
    </w:p>
    <w:p>
      <w:pPr>
        <w:pStyle w:val="10"/>
        <w:pageBreakBefore w:val="0"/>
        <w:widowControl w:val="0"/>
        <w:numPr>
          <w:ilvl w:val="2"/>
          <w:numId w:val="0"/>
        </w:numPr>
        <w:kinsoku/>
        <w:wordWrap/>
        <w:overflowPunct/>
        <w:topLinePunct w:val="0"/>
        <w:autoSpaceDE/>
        <w:autoSpaceDN/>
        <w:bidi w:val="0"/>
        <w:adjustRightInd/>
        <w:spacing w:line="420" w:lineRule="exact"/>
        <w:ind w:leftChars="0" w:firstLine="422" w:firstLineChars="200"/>
        <w:textAlignment w:val="auto"/>
        <w:rPr>
          <w:rFonts w:hint="eastAsia" w:ascii="宋体" w:hAnsi="宋体" w:eastAsia="宋体" w:cs="宋体"/>
          <w:sz w:val="21"/>
          <w:szCs w:val="21"/>
        </w:rPr>
      </w:pPr>
      <w:bookmarkStart w:id="9" w:name="_Toc14765"/>
      <w:r>
        <w:rPr>
          <w:rFonts w:hint="eastAsia" w:ascii="宋体" w:hAnsi="宋体" w:eastAsia="宋体" w:cs="宋体"/>
          <w:sz w:val="21"/>
          <w:szCs w:val="21"/>
          <w:lang w:val="en-US" w:eastAsia="zh-CN"/>
        </w:rPr>
        <w:t>3、</w:t>
      </w:r>
      <w:r>
        <w:rPr>
          <w:rFonts w:hint="eastAsia" w:ascii="宋体" w:hAnsi="宋体" w:eastAsia="宋体" w:cs="宋体"/>
          <w:sz w:val="21"/>
          <w:szCs w:val="21"/>
        </w:rPr>
        <w:t>绩效管理系统售后服务范围</w:t>
      </w:r>
      <w:bookmarkEnd w:id="9"/>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（1）每季度对数据库优化调校，确保数据来源正确。</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（2）每季进对系统的例行更新和效能调整，确保系统运行速度。</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（3）每年度至少提供一次升级服务，确保系统为最新升级版本。</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（5）系统操作如有疑问，提供电话技术支持及远端遥控支持。 </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6）系统如发生问题，首先采用电话技术或远端遥控支持。提供7×24小时电话热线支持和传真服务。项目建设及售后服务期间，若因中标方的责任出现系统故障，中标公司应在接到报修或维护的通知后立即处理，并承诺在2小时内响应，4小时内恢复。如不能远程处理的缺陷或障碍，软件工程师应在48小时内到达现场并进行修复。逾期，双方协商后可委托第三方进行修复，由此产生的相关费用由中标方全部承担。</w:t>
      </w:r>
    </w:p>
    <w:p>
      <w:pPr>
        <w:pStyle w:val="8"/>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bCs/>
          <w:sz w:val="21"/>
          <w:szCs w:val="21"/>
          <w:lang w:eastAsia="zh-CN"/>
        </w:rPr>
      </w:pPr>
      <w:r>
        <w:rPr>
          <w:rFonts w:hint="eastAsia" w:ascii="宋体" w:hAnsi="宋体" w:eastAsia="宋体" w:cs="宋体"/>
          <w:sz w:val="21"/>
          <w:szCs w:val="21"/>
        </w:rPr>
        <w:t>（7）医院更换或调整相关信息系统后（如HIS，</w:t>
      </w:r>
      <w:r>
        <w:rPr>
          <w:rFonts w:hint="eastAsia" w:ascii="宋体" w:hAnsi="宋体" w:eastAsia="宋体" w:cs="宋体"/>
          <w:bCs/>
          <w:sz w:val="21"/>
          <w:szCs w:val="21"/>
        </w:rPr>
        <w:t>医院运营管理系统…</w:t>
      </w:r>
      <w:r>
        <w:rPr>
          <w:rFonts w:hint="eastAsia" w:ascii="宋体" w:hAnsi="宋体" w:eastAsia="宋体" w:cs="宋体"/>
          <w:sz w:val="21"/>
          <w:szCs w:val="21"/>
        </w:rPr>
        <w:t>），绩效管理系统进行相应的调整调适，</w:t>
      </w:r>
      <w:r>
        <w:rPr>
          <w:rFonts w:hint="eastAsia" w:ascii="宋体" w:hAnsi="宋体" w:eastAsia="宋体" w:cs="宋体"/>
          <w:bCs/>
          <w:sz w:val="21"/>
          <w:szCs w:val="21"/>
        </w:rPr>
        <w:t>价格需双方另行友好协商</w:t>
      </w:r>
      <w:r>
        <w:rPr>
          <w:rFonts w:hint="eastAsia" w:ascii="宋体" w:hAnsi="宋体" w:cs="宋体"/>
          <w:bCs/>
          <w:sz w:val="21"/>
          <w:szCs w:val="21"/>
          <w:lang w:eastAsia="zh-CN"/>
        </w:rPr>
        <w:t>。</w:t>
      </w:r>
    </w:p>
    <w:p>
      <w:pPr>
        <w:pageBreakBefore w:val="0"/>
        <w:widowControl w:val="0"/>
        <w:kinsoku/>
        <w:wordWrap/>
        <w:overflowPunct/>
        <w:topLinePunct w:val="0"/>
        <w:autoSpaceDE/>
        <w:autoSpaceDN/>
        <w:bidi w:val="0"/>
        <w:adjustRightInd/>
        <w:spacing w:line="420" w:lineRule="exact"/>
        <w:jc w:val="left"/>
        <w:textAlignment w:val="auto"/>
        <w:rPr>
          <w:rFonts w:hint="eastAsia" w:ascii="宋体" w:hAnsi="宋体" w:eastAsia="宋体" w:cs="宋体"/>
          <w:b/>
          <w:color w:val="000000"/>
          <w:spacing w:val="6"/>
          <w:kern w:val="48"/>
          <w:sz w:val="21"/>
          <w:szCs w:val="21"/>
          <w:u w:val="single"/>
        </w:rPr>
      </w:pPr>
    </w:p>
    <w:p>
      <w:pPr>
        <w:pStyle w:val="2"/>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sz w:val="21"/>
          <w:szCs w:val="21"/>
        </w:rPr>
      </w:pPr>
    </w:p>
    <w:sectPr>
      <w:pgSz w:w="11906" w:h="16838"/>
      <w:pgMar w:top="1134" w:right="1701" w:bottom="850"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abstractNum w:abstractNumId="1">
    <w:nsid w:val="2F116B6C"/>
    <w:multiLevelType w:val="multilevel"/>
    <w:tmpl w:val="2F116B6C"/>
    <w:lvl w:ilvl="0" w:tentative="0">
      <w:start w:val="1"/>
      <w:numFmt w:val="decimal"/>
      <w:lvlText w:val="%1."/>
      <w:lvlJc w:val="left"/>
      <w:pPr>
        <w:ind w:left="900" w:hanging="420"/>
      </w:pPr>
      <w:rPr>
        <w:rFonts w:hint="eastAsia" w:eastAsia="宋体"/>
        <w:b w:val="0"/>
        <w:i w:val="0"/>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514CDFC"/>
    <w:multiLevelType w:val="singleLevel"/>
    <w:tmpl w:val="3514CDFC"/>
    <w:lvl w:ilvl="0" w:tentative="0">
      <w:start w:val="2"/>
      <w:numFmt w:val="chineseCounting"/>
      <w:suff w:val="nothing"/>
      <w:lvlText w:val="（%1）"/>
      <w:lvlJc w:val="left"/>
      <w:rPr>
        <w:rFonts w:hint="eastAsia"/>
      </w:rPr>
    </w:lvl>
  </w:abstractNum>
  <w:abstractNum w:abstractNumId="3">
    <w:nsid w:val="374F01DF"/>
    <w:multiLevelType w:val="multilevel"/>
    <w:tmpl w:val="374F01D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7E052A"/>
    <w:multiLevelType w:val="multilevel"/>
    <w:tmpl w:val="5C7E052A"/>
    <w:lvl w:ilvl="0" w:tentative="0">
      <w:start w:val="1"/>
      <w:numFmt w:val="chineseCountingThousand"/>
      <w:lvlText w:val="%1、"/>
      <w:lvlJc w:val="left"/>
      <w:pPr>
        <w:ind w:left="425" w:hanging="425"/>
      </w:pPr>
      <w:rPr>
        <w:rFonts w:hint="eastAsia"/>
        <w:color w:val="auto"/>
      </w:rPr>
    </w:lvl>
    <w:lvl w:ilvl="1" w:tentative="0">
      <w:start w:val="1"/>
      <w:numFmt w:val="decimal"/>
      <w:isLgl/>
      <w:lvlText w:val="%1.%2"/>
      <w:lvlJc w:val="left"/>
      <w:pPr>
        <w:ind w:left="397" w:hanging="397"/>
      </w:pPr>
      <w:rPr>
        <w:rFonts w:hint="eastAsia"/>
      </w:rPr>
    </w:lvl>
    <w:lvl w:ilvl="2" w:tentative="0">
      <w:start w:val="1"/>
      <w:numFmt w:val="chineseCountingThousand"/>
      <w:pStyle w:val="10"/>
      <w:isLgl/>
      <w:lvlText w:val="%1.%2.%3"/>
      <w:lvlJc w:val="left"/>
      <w:pPr>
        <w:tabs>
          <w:tab w:val="left" w:pos="794"/>
        </w:tabs>
        <w:ind w:left="397" w:hanging="397"/>
      </w:pPr>
      <w:rPr>
        <w:rFonts w:hint="eastAsia"/>
      </w:rPr>
    </w:lvl>
    <w:lvl w:ilvl="3" w:tentative="0">
      <w:start w:val="1"/>
      <w:numFmt w:val="decimal"/>
      <w:isLgl/>
      <w:lvlText w:val="%1.%2.%3.%4"/>
      <w:lvlJc w:val="left"/>
      <w:pPr>
        <w:ind w:left="397" w:hanging="397"/>
      </w:pPr>
      <w:rPr>
        <w:rFonts w:hint="eastAsia"/>
      </w:rPr>
    </w:lvl>
    <w:lvl w:ilvl="4" w:tentative="0">
      <w:start w:val="1"/>
      <w:numFmt w:val="decimal"/>
      <w:isLgl/>
      <w:lvlText w:val="%1.%2.%3.%4.%5"/>
      <w:lvlJc w:val="left"/>
      <w:pPr>
        <w:ind w:left="397" w:hanging="39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26349"/>
    <w:rsid w:val="00030F32"/>
    <w:rsid w:val="00050FC1"/>
    <w:rsid w:val="000D3667"/>
    <w:rsid w:val="000D55BA"/>
    <w:rsid w:val="00100D7D"/>
    <w:rsid w:val="0010674D"/>
    <w:rsid w:val="001455FB"/>
    <w:rsid w:val="001533FC"/>
    <w:rsid w:val="00174439"/>
    <w:rsid w:val="001A6744"/>
    <w:rsid w:val="001C52C2"/>
    <w:rsid w:val="001D01BD"/>
    <w:rsid w:val="001D717A"/>
    <w:rsid w:val="00210D97"/>
    <w:rsid w:val="00220B06"/>
    <w:rsid w:val="00271742"/>
    <w:rsid w:val="00295CA5"/>
    <w:rsid w:val="002C318E"/>
    <w:rsid w:val="002D1642"/>
    <w:rsid w:val="002F677F"/>
    <w:rsid w:val="00354444"/>
    <w:rsid w:val="00396053"/>
    <w:rsid w:val="003C53EF"/>
    <w:rsid w:val="004060CC"/>
    <w:rsid w:val="00407202"/>
    <w:rsid w:val="00426BF6"/>
    <w:rsid w:val="00443342"/>
    <w:rsid w:val="004612F6"/>
    <w:rsid w:val="004627CE"/>
    <w:rsid w:val="00492D7A"/>
    <w:rsid w:val="004A7281"/>
    <w:rsid w:val="00517A88"/>
    <w:rsid w:val="005400B1"/>
    <w:rsid w:val="005770D8"/>
    <w:rsid w:val="005C6AA8"/>
    <w:rsid w:val="005E7321"/>
    <w:rsid w:val="00601A96"/>
    <w:rsid w:val="00606A42"/>
    <w:rsid w:val="006154DA"/>
    <w:rsid w:val="0064623B"/>
    <w:rsid w:val="006521CA"/>
    <w:rsid w:val="00662311"/>
    <w:rsid w:val="006A611E"/>
    <w:rsid w:val="006C3FEA"/>
    <w:rsid w:val="006D03D6"/>
    <w:rsid w:val="00701F0A"/>
    <w:rsid w:val="00780935"/>
    <w:rsid w:val="007F1D42"/>
    <w:rsid w:val="007F4943"/>
    <w:rsid w:val="008310F4"/>
    <w:rsid w:val="00842B4C"/>
    <w:rsid w:val="008730BD"/>
    <w:rsid w:val="0087659C"/>
    <w:rsid w:val="008B50E1"/>
    <w:rsid w:val="008D50AB"/>
    <w:rsid w:val="0090613E"/>
    <w:rsid w:val="009171F0"/>
    <w:rsid w:val="00930C42"/>
    <w:rsid w:val="0096076C"/>
    <w:rsid w:val="009671F9"/>
    <w:rsid w:val="0097457E"/>
    <w:rsid w:val="009A6EAF"/>
    <w:rsid w:val="009C1484"/>
    <w:rsid w:val="00A73FB0"/>
    <w:rsid w:val="00AA7369"/>
    <w:rsid w:val="00AB018F"/>
    <w:rsid w:val="00B00AA0"/>
    <w:rsid w:val="00B22FB1"/>
    <w:rsid w:val="00B73265"/>
    <w:rsid w:val="00B77468"/>
    <w:rsid w:val="00C13E3C"/>
    <w:rsid w:val="00C2167D"/>
    <w:rsid w:val="00C42CED"/>
    <w:rsid w:val="00C600AD"/>
    <w:rsid w:val="00C96D1C"/>
    <w:rsid w:val="00CA7EB5"/>
    <w:rsid w:val="00CD3DE3"/>
    <w:rsid w:val="00CF1A81"/>
    <w:rsid w:val="00D34FEC"/>
    <w:rsid w:val="00D41C12"/>
    <w:rsid w:val="00D44375"/>
    <w:rsid w:val="00D56296"/>
    <w:rsid w:val="00D665A8"/>
    <w:rsid w:val="00D72E5D"/>
    <w:rsid w:val="00D918E8"/>
    <w:rsid w:val="00DC3B07"/>
    <w:rsid w:val="00DC6DFC"/>
    <w:rsid w:val="00DD63E3"/>
    <w:rsid w:val="00DF0D4A"/>
    <w:rsid w:val="00E322E9"/>
    <w:rsid w:val="00E54901"/>
    <w:rsid w:val="00E73D3B"/>
    <w:rsid w:val="00EA2283"/>
    <w:rsid w:val="00EC3904"/>
    <w:rsid w:val="00EE22B5"/>
    <w:rsid w:val="00F02071"/>
    <w:rsid w:val="00F06928"/>
    <w:rsid w:val="00F37A54"/>
    <w:rsid w:val="00F77940"/>
    <w:rsid w:val="00FA1EF5"/>
    <w:rsid w:val="00FB7872"/>
    <w:rsid w:val="02FF41F8"/>
    <w:rsid w:val="05700B87"/>
    <w:rsid w:val="0A705385"/>
    <w:rsid w:val="10FA4306"/>
    <w:rsid w:val="12821ED9"/>
    <w:rsid w:val="12CD72A7"/>
    <w:rsid w:val="151A1508"/>
    <w:rsid w:val="15525935"/>
    <w:rsid w:val="17005FBC"/>
    <w:rsid w:val="176075D7"/>
    <w:rsid w:val="19EF52D8"/>
    <w:rsid w:val="1BCF0653"/>
    <w:rsid w:val="1DF51CE6"/>
    <w:rsid w:val="1DF8560E"/>
    <w:rsid w:val="220015D2"/>
    <w:rsid w:val="224B705D"/>
    <w:rsid w:val="2604539D"/>
    <w:rsid w:val="29023D0F"/>
    <w:rsid w:val="2C3B438B"/>
    <w:rsid w:val="2D076076"/>
    <w:rsid w:val="34F5482E"/>
    <w:rsid w:val="39886A9F"/>
    <w:rsid w:val="3E337180"/>
    <w:rsid w:val="42A76F80"/>
    <w:rsid w:val="43E0128D"/>
    <w:rsid w:val="443F1892"/>
    <w:rsid w:val="4473751E"/>
    <w:rsid w:val="44895441"/>
    <w:rsid w:val="486A6E89"/>
    <w:rsid w:val="491446BA"/>
    <w:rsid w:val="4A083D2C"/>
    <w:rsid w:val="4A5A760D"/>
    <w:rsid w:val="4D4128AF"/>
    <w:rsid w:val="4EA14C89"/>
    <w:rsid w:val="51295B34"/>
    <w:rsid w:val="544E6B34"/>
    <w:rsid w:val="5A1E6A6C"/>
    <w:rsid w:val="5B846B77"/>
    <w:rsid w:val="5FAE5769"/>
    <w:rsid w:val="628C5F22"/>
    <w:rsid w:val="66190B98"/>
    <w:rsid w:val="6764271C"/>
    <w:rsid w:val="681F6A8B"/>
    <w:rsid w:val="6CBF0CA2"/>
    <w:rsid w:val="6DC15D38"/>
    <w:rsid w:val="70484351"/>
    <w:rsid w:val="731A162D"/>
    <w:rsid w:val="73397A01"/>
    <w:rsid w:val="73A85F67"/>
    <w:rsid w:val="755B70CF"/>
    <w:rsid w:val="77CC1A02"/>
    <w:rsid w:val="77F373ED"/>
    <w:rsid w:val="7828099D"/>
    <w:rsid w:val="787B0173"/>
    <w:rsid w:val="797F1EE5"/>
    <w:rsid w:val="79955265"/>
    <w:rsid w:val="7B78035F"/>
    <w:rsid w:val="7E93028B"/>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unhideWhenUsed/>
    <w:qFormat/>
    <w:uiPriority w:val="0"/>
    <w:pPr>
      <w:keepNext/>
      <w:keepLines/>
      <w:numPr>
        <w:ilvl w:val="2"/>
        <w:numId w:val="1"/>
      </w:numPr>
      <w:spacing w:before="20" w:after="20" w:line="240" w:lineRule="auto"/>
      <w:outlineLvl w:val="2"/>
    </w:pPr>
    <w:rPr>
      <w:rFonts w:ascii="Arial" w:hAnsi="Arial" w:eastAsia="黑体"/>
      <w:b/>
      <w:bCs/>
      <w:sz w:val="30"/>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line="240" w:lineRule="auto"/>
      <w:jc w:val="left"/>
    </w:pPr>
    <w:rPr>
      <w:rFonts w:ascii="Times New Roman" w:hAnsi="Times New Roman" w:eastAsia="宋体" w:cs="Times New Roman"/>
      <w:bCs/>
      <w:spacing w:val="10"/>
      <w:kern w:val="0"/>
      <w:sz w:val="21"/>
    </w:rPr>
  </w:style>
  <w:style w:type="paragraph" w:styleId="3">
    <w:name w:val="Plain Text"/>
    <w:basedOn w:val="1"/>
    <w:next w:val="1"/>
    <w:qFormat/>
    <w:uiPriority w:val="0"/>
    <w:pPr>
      <w:ind w:firstLine="200" w:firstLineChars="200"/>
    </w:pPr>
    <w:rPr>
      <w:rFonts w:ascii="宋体" w:hAnsi="Courier New" w:eastAsia="华文中宋" w:cs="Courier New"/>
      <w:szCs w:val="21"/>
    </w:rPr>
  </w:style>
  <w:style w:type="paragraph" w:styleId="4">
    <w:name w:val="Body Text"/>
    <w:basedOn w:val="1"/>
    <w:next w:val="5"/>
    <w:qFormat/>
    <w:uiPriority w:val="0"/>
    <w:rPr>
      <w:rFonts w:ascii="楷体_GB2312" w:hAnsi="Arial" w:eastAsia="楷体_GB2312"/>
      <w:sz w:val="28"/>
      <w:szCs w:val="28"/>
    </w:rPr>
  </w:style>
  <w:style w:type="paragraph" w:styleId="5">
    <w:name w:val="Body Text First Indent"/>
    <w:basedOn w:val="4"/>
    <w:next w:val="6"/>
    <w:qFormat/>
    <w:uiPriority w:val="0"/>
    <w:pPr>
      <w:tabs>
        <w:tab w:val="left" w:pos="208"/>
      </w:tabs>
      <w:spacing w:after="120" w:line="240" w:lineRule="auto"/>
      <w:ind w:firstLine="420" w:firstLineChars="100"/>
    </w:pPr>
    <w:rPr>
      <w:rFonts w:ascii="Times New Roman" w:eastAsia="宋体"/>
      <w:sz w:val="21"/>
    </w:rPr>
  </w:style>
  <w:style w:type="paragraph" w:styleId="6">
    <w:name w:val="toc 6"/>
    <w:basedOn w:val="1"/>
    <w:next w:val="1"/>
    <w:unhideWhenUsed/>
    <w:qFormat/>
    <w:uiPriority w:val="39"/>
    <w:pPr>
      <w:ind w:left="1050" w:leftChars="100" w:firstLine="200" w:firstLineChars="200"/>
      <w:jc w:val="left"/>
    </w:pPr>
    <w:rPr>
      <w:rFonts w:ascii="Calibri" w:hAnsi="Calibri"/>
      <w:sz w:val="20"/>
      <w:szCs w:val="20"/>
    </w:rPr>
  </w:style>
  <w:style w:type="paragraph" w:styleId="8">
    <w:name w:val="Normal Indent"/>
    <w:basedOn w:val="1"/>
    <w:next w:val="9"/>
    <w:qFormat/>
    <w:uiPriority w:val="99"/>
    <w:pPr>
      <w:ind w:firstLine="200" w:firstLineChars="200"/>
    </w:pPr>
    <w:rPr>
      <w:szCs w:val="20"/>
    </w:rPr>
  </w:style>
  <w:style w:type="paragraph" w:styleId="9">
    <w:name w:val="Body Text Indent"/>
    <w:basedOn w:val="1"/>
    <w:next w:val="8"/>
    <w:qFormat/>
    <w:uiPriority w:val="0"/>
    <w:pPr>
      <w:spacing w:line="480" w:lineRule="exact"/>
      <w:ind w:firstLine="480" w:firstLineChars="200"/>
    </w:pPr>
    <w:rPr>
      <w:rFonts w:ascii="宋体" w:hAnsi="宋体"/>
      <w:sz w:val="24"/>
    </w:rPr>
  </w:style>
  <w:style w:type="paragraph" w:styleId="11">
    <w:name w:val="annotation text"/>
    <w:basedOn w:val="1"/>
    <w:semiHidden/>
    <w:unhideWhenUsed/>
    <w:qFormat/>
    <w:uiPriority w:val="99"/>
    <w:pPr>
      <w:jc w:val="left"/>
    </w:pPr>
  </w:style>
  <w:style w:type="paragraph" w:styleId="1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3">
    <w:name w:val="index 4"/>
    <w:basedOn w:val="1"/>
    <w:next w:val="1"/>
    <w:qFormat/>
    <w:uiPriority w:val="0"/>
    <w:pPr>
      <w:ind w:left="600" w:leftChars="600"/>
    </w:pPr>
    <w:rPr>
      <w:rFonts w:eastAsia="仿宋_GB2312"/>
      <w:sz w:val="24"/>
    </w:rPr>
  </w:style>
  <w:style w:type="paragraph" w:styleId="14">
    <w:name w:val="Body Text Indent 2"/>
    <w:basedOn w:val="1"/>
    <w:next w:val="15"/>
    <w:qFormat/>
    <w:uiPriority w:val="0"/>
    <w:pPr>
      <w:spacing w:line="360" w:lineRule="auto"/>
      <w:ind w:firstLine="601"/>
      <w:textAlignment w:val="baseline"/>
    </w:pPr>
    <w:rPr>
      <w:rFonts w:ascii="宋体"/>
      <w:kern w:val="0"/>
      <w:sz w:val="28"/>
      <w:szCs w:val="20"/>
    </w:rPr>
  </w:style>
  <w:style w:type="paragraph" w:styleId="15">
    <w:name w:val="toc 1"/>
    <w:basedOn w:val="1"/>
    <w:next w:val="1"/>
    <w:qFormat/>
    <w:uiPriority w:val="0"/>
  </w:style>
  <w:style w:type="paragraph" w:styleId="16">
    <w:name w:val="Balloon Text"/>
    <w:basedOn w:val="1"/>
    <w:link w:val="37"/>
    <w:semiHidden/>
    <w:unhideWhenUsed/>
    <w:qFormat/>
    <w:uiPriority w:val="99"/>
    <w:rPr>
      <w:sz w:val="18"/>
      <w:szCs w:val="18"/>
    </w:rPr>
  </w:style>
  <w:style w:type="paragraph" w:styleId="17">
    <w:name w:val="footer"/>
    <w:basedOn w:val="1"/>
    <w:link w:val="27"/>
    <w:unhideWhenUsed/>
    <w:qFormat/>
    <w:uiPriority w:val="99"/>
    <w:pPr>
      <w:tabs>
        <w:tab w:val="center" w:pos="4153"/>
        <w:tab w:val="right" w:pos="8306"/>
      </w:tabs>
      <w:snapToGrid w:val="0"/>
      <w:jc w:val="left"/>
    </w:pPr>
    <w:rPr>
      <w:sz w:val="18"/>
      <w:szCs w:val="18"/>
    </w:rPr>
  </w:style>
  <w:style w:type="paragraph" w:styleId="18">
    <w:name w:val="header"/>
    <w:basedOn w:val="1"/>
    <w:next w:val="14"/>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0"/>
    <w:pPr>
      <w:spacing w:line="240" w:lineRule="atLeast"/>
      <w:jc w:val="center"/>
    </w:pPr>
    <w:rPr>
      <w:b/>
      <w:kern w:val="0"/>
      <w:sz w:val="30"/>
    </w:rPr>
  </w:style>
  <w:style w:type="table" w:styleId="22">
    <w:name w:val="Table Grid"/>
    <w:basedOn w:val="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semiHidden/>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8"/>
    <w:qFormat/>
    <w:uiPriority w:val="99"/>
    <w:rPr>
      <w:sz w:val="18"/>
      <w:szCs w:val="18"/>
    </w:rPr>
  </w:style>
  <w:style w:type="character" w:customStyle="1" w:styleId="27">
    <w:name w:val="页脚 字符"/>
    <w:basedOn w:val="23"/>
    <w:link w:val="17"/>
    <w:qFormat/>
    <w:uiPriority w:val="99"/>
    <w:rPr>
      <w:sz w:val="18"/>
      <w:szCs w:val="18"/>
    </w:rPr>
  </w:style>
  <w:style w:type="character" w:customStyle="1" w:styleId="28">
    <w:name w:val="列表段落 字符"/>
    <w:link w:val="29"/>
    <w:qFormat/>
    <w:uiPriority w:val="34"/>
    <w:rPr>
      <w:sz w:val="24"/>
      <w:szCs w:val="24"/>
    </w:rPr>
  </w:style>
  <w:style w:type="paragraph" w:customStyle="1" w:styleId="29">
    <w:name w:val="列出段落1"/>
    <w:basedOn w:val="1"/>
    <w:link w:val="28"/>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30">
    <w:name w:val="样式 首行缩进:  2.25 字符"/>
    <w:basedOn w:val="1"/>
    <w:qFormat/>
    <w:uiPriority w:val="0"/>
    <w:pPr>
      <w:spacing w:line="360" w:lineRule="auto"/>
      <w:ind w:firstLine="225" w:firstLineChars="225"/>
    </w:pPr>
    <w:rPr>
      <w:rFonts w:cs="宋体"/>
      <w:sz w:val="24"/>
      <w:szCs w:val="20"/>
    </w:rPr>
  </w:style>
  <w:style w:type="paragraph" w:customStyle="1" w:styleId="31">
    <w:name w:val="列出段落2"/>
    <w:basedOn w:val="1"/>
    <w:qFormat/>
    <w:uiPriority w:val="34"/>
    <w:pPr>
      <w:ind w:firstLine="420" w:firstLineChars="200"/>
    </w:pPr>
    <w:rPr>
      <w:rFonts w:ascii="Times New Roman" w:hAnsi="Times New Roman"/>
      <w:szCs w:val="24"/>
    </w:rPr>
  </w:style>
  <w:style w:type="paragraph" w:customStyle="1" w:styleId="32">
    <w:name w:val="_Style 4"/>
    <w:basedOn w:val="1"/>
    <w:qFormat/>
    <w:uiPriority w:val="99"/>
    <w:pPr>
      <w:ind w:firstLine="420" w:firstLineChars="200"/>
    </w:pPr>
  </w:style>
  <w:style w:type="paragraph" w:styleId="33">
    <w:name w:val="List Paragraph"/>
    <w:basedOn w:val="1"/>
    <w:qFormat/>
    <w:uiPriority w:val="34"/>
    <w:pPr>
      <w:ind w:firstLine="420" w:firstLineChars="200"/>
    </w:pPr>
  </w:style>
  <w:style w:type="paragraph" w:customStyle="1" w:styleId="34">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35">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36">
    <w:name w:val="列表段落1"/>
    <w:basedOn w:val="1"/>
    <w:qFormat/>
    <w:uiPriority w:val="34"/>
    <w:pPr>
      <w:ind w:firstLine="420" w:firstLineChars="200"/>
    </w:pPr>
    <w:rPr>
      <w:szCs w:val="24"/>
    </w:rPr>
  </w:style>
  <w:style w:type="character" w:customStyle="1" w:styleId="37">
    <w:name w:val="批注框文本 字符"/>
    <w:basedOn w:val="23"/>
    <w:link w:val="16"/>
    <w:semiHidden/>
    <w:qFormat/>
    <w:uiPriority w:val="99"/>
    <w:rPr>
      <w:rFonts w:ascii="Calibri" w:hAnsi="Calibri" w:eastAsia="宋体" w:cs="Times New Roman"/>
      <w:kern w:val="2"/>
      <w:sz w:val="18"/>
      <w:szCs w:val="18"/>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paragraph" w:customStyle="1" w:styleId="39">
    <w:name w:val="_正文"/>
    <w:basedOn w:val="1"/>
    <w:qFormat/>
    <w:uiPriority w:val="0"/>
    <w:pPr>
      <w:ind w:firstLine="20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5809</Words>
  <Characters>6258</Characters>
  <Lines>53</Lines>
  <Paragraphs>14</Paragraphs>
  <TotalTime>8</TotalTime>
  <ScaleCrop>false</ScaleCrop>
  <LinksUpToDate>false</LinksUpToDate>
  <CharactersWithSpaces>6306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2022-07-29T07:05:00Z</dcterms:created>
  <dc:creator>office51</dc:creator>
  <cp:lastModifiedBy>小暖</cp:lastModifiedBy>
  <cp:lastPrinted>2022-06-25T02:25:00Z</cp:lastPrinted>
  <dcterms:modified xsi:type="dcterms:W3CDTF">2022-11-05T01:23:21Z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E2AD352D8D9C4E2C87967C048CB1E871</vt:lpwstr>
  </property>
</Properties>
</file>