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333333"/>
          <w:kern w:val="0"/>
          <w:szCs w:val="21"/>
        </w:rPr>
      </w:pPr>
      <w:r>
        <w:rPr>
          <w:rFonts w:hint="eastAsia" w:ascii="宋体" w:hAnsi="宋体" w:cs="宋体"/>
          <w:color w:val="333333"/>
          <w:kern w:val="0"/>
          <w:szCs w:val="21"/>
        </w:rPr>
        <w:t>附件：</w:t>
      </w:r>
    </w:p>
    <w:p>
      <w:pPr>
        <w:pStyle w:val="8"/>
        <w:ind w:left="0" w:leftChars="0"/>
        <w:jc w:val="center"/>
        <w:rPr>
          <w:rFonts w:ascii="宋体" w:hAnsi="宋体" w:eastAsia="宋体" w:cs="宋体"/>
          <w:b/>
          <w:kern w:val="0"/>
          <w:szCs w:val="24"/>
        </w:rPr>
      </w:pPr>
      <w:r>
        <w:rPr>
          <w:rFonts w:hint="eastAsia" w:ascii="宋体" w:hAnsi="宋体" w:eastAsia="宋体" w:cs="宋体"/>
          <w:b/>
          <w:kern w:val="0"/>
          <w:szCs w:val="24"/>
        </w:rPr>
        <w:t>第一章    论证邀请</w:t>
      </w:r>
    </w:p>
    <w:p>
      <w:pPr>
        <w:spacing w:line="360" w:lineRule="auto"/>
        <w:ind w:firstLine="420" w:firstLineChars="200"/>
        <w:rPr>
          <w:rFonts w:ascii="宋体" w:hAnsi="宋体" w:cs="宋体"/>
          <w:kern w:val="0"/>
          <w:szCs w:val="21"/>
        </w:rPr>
      </w:pPr>
      <w:r>
        <w:rPr>
          <w:rFonts w:hint="eastAsia" w:ascii="宋体" w:hAnsi="宋体" w:cs="宋体"/>
          <w:kern w:val="0"/>
          <w:szCs w:val="21"/>
        </w:rPr>
        <w:t>南京市江宁医院信息处根据医院信息化资产委员会会议及院长办公会要求，就信息项目进行论证，兹邀请符合资格条件的生产企业、经销企业以及潜在供应商参加。</w:t>
      </w:r>
    </w:p>
    <w:p>
      <w:pPr>
        <w:spacing w:line="360" w:lineRule="auto"/>
        <w:rPr>
          <w:rFonts w:ascii="宋体" w:hAnsi="宋体" w:cs="宋体"/>
          <w:b/>
          <w:color w:val="000000"/>
          <w:szCs w:val="21"/>
        </w:rPr>
      </w:pPr>
      <w:r>
        <w:rPr>
          <w:rFonts w:hint="eastAsia" w:ascii="宋体" w:hAnsi="宋体" w:cs="宋体"/>
          <w:b/>
          <w:color w:val="000000"/>
          <w:szCs w:val="21"/>
        </w:rPr>
        <w:t>一、项目简要说明：</w:t>
      </w:r>
    </w:p>
    <w:tbl>
      <w:tblPr>
        <w:tblStyle w:val="16"/>
        <w:tblW w:w="51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2673"/>
        <w:gridCol w:w="829"/>
        <w:gridCol w:w="1571"/>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需求部门</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 w:val="20"/>
                <w:szCs w:val="20"/>
              </w:rPr>
            </w:pPr>
            <w:r>
              <w:rPr>
                <w:rFonts w:hint="eastAsia" w:ascii="宋体" w:hAnsi="宋体" w:cs="宋体"/>
                <w:kern w:val="0"/>
                <w:sz w:val="20"/>
                <w:szCs w:val="20"/>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r>
              <w:rPr>
                <w:rFonts w:hint="eastAsia" w:ascii="宋体" w:hAnsi="宋体" w:cs="宋体"/>
                <w:color w:val="000000"/>
                <w:kern w:val="0"/>
              </w:rPr>
              <w:t>药研项目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计财处</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sz w:val="20"/>
                <w:szCs w:val="20"/>
              </w:rPr>
            </w:pPr>
            <w:r>
              <w:rPr>
                <w:rFonts w:hint="eastAsia"/>
                <w:szCs w:val="28"/>
              </w:rPr>
              <w:t>项目基础信息管理、经费来源预算管理、经费来源预算调整、经费支出预算管理、经费支出预算调整、经费来源到账管理、经费支出执行管理、项目查询分析管理、项目分类管理、经费支出项目管理、项目支出组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rPr>
            </w:pPr>
            <w:r>
              <w:rPr>
                <w:rFonts w:hint="eastAsia" w:ascii="宋体" w:hAnsi="宋体" w:cs="宋体"/>
                <w:color w:val="000000"/>
                <w:kern w:val="0"/>
              </w:rPr>
              <w:t>资产项目</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计财处</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8"/>
              </w:rPr>
            </w:pPr>
            <w:r>
              <w:rPr>
                <w:rFonts w:hint="eastAsia"/>
                <w:szCs w:val="28"/>
              </w:rPr>
              <w:t>对资产类的购置预算进行项目立项和审批。包括通用设备、专用设备项目。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8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000000"/>
                <w:kern w:val="0"/>
              </w:rPr>
            </w:pPr>
            <w:r>
              <w:rPr>
                <w:rFonts w:hint="eastAsia" w:ascii="宋体" w:hAnsi="宋体" w:cs="宋体"/>
                <w:color w:val="000000"/>
                <w:kern w:val="0"/>
              </w:rPr>
              <w:t>人力资源</w:t>
            </w:r>
          </w:p>
        </w:tc>
        <w:tc>
          <w:tcPr>
            <w:tcW w:w="4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1套</w:t>
            </w:r>
          </w:p>
        </w:tc>
        <w:tc>
          <w:tcPr>
            <w:tcW w:w="8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kern w:val="0"/>
                <w:sz w:val="20"/>
                <w:szCs w:val="20"/>
              </w:rPr>
            </w:pPr>
            <w:r>
              <w:rPr>
                <w:rFonts w:hint="eastAsia" w:ascii="宋体" w:hAnsi="宋体" w:cs="宋体"/>
                <w:color w:val="000000"/>
                <w:kern w:val="0"/>
                <w:sz w:val="20"/>
                <w:szCs w:val="20"/>
              </w:rPr>
              <w:t>计财处</w:t>
            </w:r>
          </w:p>
        </w:tc>
        <w:tc>
          <w:tcPr>
            <w:tcW w:w="172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szCs w:val="28"/>
              </w:rPr>
            </w:pPr>
            <w:r>
              <w:rPr>
                <w:rFonts w:hint="eastAsia"/>
                <w:szCs w:val="28"/>
              </w:rPr>
              <w:t>接入医院新建的人力资源管理系统，通过员工岗位、支撑、学位、学历、年龄、用工形式、单位归属及卫生统计分类，进行各科室的人力资源信息统计与分析、下钻查询与排名等</w:t>
            </w:r>
          </w:p>
        </w:tc>
      </w:tr>
    </w:tbl>
    <w:p>
      <w:pPr>
        <w:spacing w:line="360" w:lineRule="auto"/>
        <w:rPr>
          <w:rFonts w:ascii="宋体" w:hAnsi="宋体" w:cs="宋体"/>
          <w:b/>
          <w:color w:val="000000"/>
          <w:szCs w:val="21"/>
        </w:rPr>
      </w:pPr>
    </w:p>
    <w:p>
      <w:pPr>
        <w:spacing w:line="360" w:lineRule="auto"/>
        <w:rPr>
          <w:rFonts w:ascii="宋体" w:hAnsi="宋体" w:cs="宋体"/>
          <w:b/>
          <w:color w:val="000000"/>
          <w:szCs w:val="21"/>
        </w:rPr>
      </w:pPr>
      <w:r>
        <w:rPr>
          <w:rFonts w:hint="eastAsia" w:ascii="宋体" w:hAnsi="宋体" w:cs="宋体"/>
          <w:b/>
          <w:color w:val="000000"/>
          <w:szCs w:val="21"/>
        </w:rPr>
        <w:t>二、供应商报名资格要求</w:t>
      </w:r>
    </w:p>
    <w:p>
      <w:pPr>
        <w:spacing w:line="360" w:lineRule="auto"/>
        <w:ind w:firstLine="420" w:firstLineChars="200"/>
        <w:rPr>
          <w:rFonts w:ascii="宋体" w:hAnsi="宋体" w:cs="宋体"/>
          <w:kern w:val="0"/>
          <w:szCs w:val="21"/>
        </w:rPr>
      </w:pPr>
      <w:r>
        <w:rPr>
          <w:rFonts w:hint="eastAsia" w:ascii="宋体" w:hAnsi="宋体" w:cs="宋体"/>
          <w:kern w:val="0"/>
          <w:szCs w:val="21"/>
        </w:rPr>
        <w:t>报名单位必须具备《中华人民共和国政府采购法》第22条所规定的条件外，还须具备如下条件：</w:t>
      </w:r>
    </w:p>
    <w:p>
      <w:pPr>
        <w:spacing w:line="360" w:lineRule="auto"/>
        <w:ind w:firstLine="420" w:firstLineChars="200"/>
        <w:rPr>
          <w:rFonts w:ascii="宋体" w:hAnsi="宋体" w:cs="宋体"/>
          <w:kern w:val="0"/>
          <w:szCs w:val="21"/>
        </w:rPr>
      </w:pPr>
      <w:r>
        <w:rPr>
          <w:rFonts w:hint="eastAsia" w:ascii="宋体" w:hAnsi="宋体" w:cs="宋体"/>
          <w:kern w:val="0"/>
          <w:szCs w:val="21"/>
        </w:rPr>
        <w:t>1）在国内工商管理部门注册，具有独立的法人资格。</w:t>
      </w:r>
    </w:p>
    <w:p>
      <w:pPr>
        <w:spacing w:line="360" w:lineRule="auto"/>
        <w:ind w:firstLine="420" w:firstLineChars="200"/>
        <w:rPr>
          <w:rFonts w:ascii="宋体" w:hAnsi="宋体" w:cs="宋体"/>
          <w:kern w:val="0"/>
          <w:szCs w:val="21"/>
        </w:rPr>
      </w:pPr>
      <w:r>
        <w:rPr>
          <w:rFonts w:hint="eastAsia" w:ascii="宋体" w:hAnsi="宋体" w:cs="宋体"/>
          <w:kern w:val="0"/>
          <w:szCs w:val="21"/>
        </w:rPr>
        <w:t>2）法定代表人授权委托书（法定代表人签署不需提供此书）；法定代表人及授权代表身份证正反面复印件；</w:t>
      </w:r>
    </w:p>
    <w:p>
      <w:pPr>
        <w:spacing w:line="360" w:lineRule="auto"/>
        <w:ind w:firstLine="420" w:firstLineChars="200"/>
        <w:rPr>
          <w:rFonts w:ascii="宋体" w:hAnsi="宋体" w:cs="宋体"/>
          <w:kern w:val="0"/>
          <w:szCs w:val="21"/>
        </w:rPr>
      </w:pPr>
      <w:r>
        <w:rPr>
          <w:rFonts w:hint="eastAsia" w:ascii="宋体" w:hAnsi="宋体" w:cs="宋体"/>
          <w:kern w:val="0"/>
          <w:szCs w:val="21"/>
        </w:rPr>
        <w:t>3）具有良好的商业信誉和健全的财务会计制度；</w:t>
      </w:r>
    </w:p>
    <w:p>
      <w:pPr>
        <w:spacing w:line="360" w:lineRule="auto"/>
        <w:ind w:firstLine="420" w:firstLineChars="200"/>
        <w:rPr>
          <w:rFonts w:ascii="宋体" w:hAnsi="宋体" w:cs="宋体"/>
          <w:kern w:val="0"/>
          <w:szCs w:val="21"/>
        </w:rPr>
      </w:pPr>
      <w:r>
        <w:rPr>
          <w:rFonts w:hint="eastAsia" w:ascii="宋体" w:hAnsi="宋体" w:cs="宋体"/>
          <w:kern w:val="0"/>
          <w:szCs w:val="21"/>
        </w:rPr>
        <w:t>4）有依法缴纳税收和社会保障资金的良好记录；</w:t>
      </w:r>
    </w:p>
    <w:p>
      <w:pPr>
        <w:pStyle w:val="8"/>
        <w:spacing w:line="360" w:lineRule="auto"/>
        <w:ind w:left="0" w:leftChars="0" w:firstLine="420" w:firstLineChars="200"/>
        <w:rPr>
          <w:rFonts w:ascii="宋体" w:hAnsi="宋体" w:eastAsia="宋体" w:cs="宋体"/>
          <w:szCs w:val="21"/>
        </w:rPr>
      </w:pPr>
      <w:r>
        <w:rPr>
          <w:rFonts w:hint="eastAsia" w:ascii="宋体" w:hAnsi="宋体" w:eastAsia="宋体" w:cs="宋体"/>
          <w:kern w:val="0"/>
          <w:sz w:val="21"/>
          <w:szCs w:val="21"/>
        </w:rPr>
        <w:t>5）报名单位或原厂商具备2019年至今完成的三级及以上医院预算管理系统建设案例，至少提供</w:t>
      </w:r>
      <w:r>
        <w:rPr>
          <w:rFonts w:hint="eastAsia" w:ascii="宋体" w:hAnsi="宋体" w:eastAsia="宋体" w:cs="宋体"/>
          <w:kern w:val="0"/>
          <w:sz w:val="21"/>
          <w:szCs w:val="21"/>
          <w:u w:val="single"/>
        </w:rPr>
        <w:t>3家</w:t>
      </w:r>
      <w:r>
        <w:rPr>
          <w:rFonts w:hint="eastAsia" w:ascii="宋体" w:hAnsi="宋体" w:eastAsia="宋体" w:cs="宋体"/>
          <w:kern w:val="0"/>
          <w:sz w:val="21"/>
          <w:szCs w:val="21"/>
        </w:rPr>
        <w:t>以上三甲医院签约合同案例证明文件。</w:t>
      </w:r>
    </w:p>
    <w:p>
      <w:pPr>
        <w:spacing w:line="360" w:lineRule="auto"/>
        <w:rPr>
          <w:rFonts w:ascii="宋体" w:hAnsi="宋体" w:cs="宋体"/>
          <w:b/>
          <w:color w:val="000000"/>
          <w:szCs w:val="21"/>
        </w:rPr>
      </w:pPr>
      <w:r>
        <w:rPr>
          <w:rFonts w:hint="eastAsia" w:ascii="宋体" w:hAnsi="宋体" w:cs="宋体"/>
          <w:b/>
          <w:color w:val="000000"/>
          <w:szCs w:val="21"/>
        </w:rPr>
        <w:t>三、论证时间及地点联系方式：</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1.报名</w:t>
      </w:r>
      <w:r>
        <w:rPr>
          <w:rFonts w:hint="eastAsia" w:ascii="宋体" w:hAnsi="宋体" w:cs="宋体"/>
          <w:szCs w:val="21"/>
          <w:lang w:eastAsia="zh-CN"/>
        </w:rPr>
        <w:t>截止</w:t>
      </w:r>
      <w:r>
        <w:rPr>
          <w:rFonts w:hint="eastAsia" w:ascii="宋体" w:hAnsi="宋体" w:cs="宋体"/>
          <w:szCs w:val="21"/>
        </w:rPr>
        <w:t>时间：</w:t>
      </w:r>
      <w:r>
        <w:rPr>
          <w:rFonts w:ascii="宋体" w:hAnsi="宋体" w:cs="宋体"/>
          <w:szCs w:val="21"/>
        </w:rPr>
        <w:t xml:space="preserve"> </w:t>
      </w:r>
      <w:r>
        <w:rPr>
          <w:rFonts w:hint="eastAsia" w:ascii="宋体" w:hAnsi="宋体" w:cs="宋体"/>
          <w:szCs w:val="21"/>
          <w:lang w:val="en-US" w:eastAsia="zh-CN"/>
        </w:rPr>
        <w:t>2022年9月6日</w:t>
      </w:r>
    </w:p>
    <w:p>
      <w:pPr>
        <w:spacing w:line="360" w:lineRule="auto"/>
        <w:ind w:firstLine="422" w:firstLineChars="200"/>
        <w:rPr>
          <w:rFonts w:ascii="宋体" w:hAnsi="宋体" w:cs="宋体"/>
          <w:szCs w:val="21"/>
        </w:rPr>
      </w:pPr>
      <w:r>
        <w:rPr>
          <w:rFonts w:hint="eastAsia" w:ascii="宋体" w:hAnsi="宋体" w:cs="宋体"/>
          <w:b/>
          <w:bCs/>
          <w:szCs w:val="21"/>
        </w:rPr>
        <w:t>报名材料提交方式</w:t>
      </w:r>
      <w:r>
        <w:rPr>
          <w:rFonts w:hint="eastAsia" w:ascii="宋体" w:hAnsi="宋体" w:cs="宋体"/>
          <w:szCs w:val="21"/>
        </w:rPr>
        <w:t xml:space="preserve">：在报名时间截止之前通过电子邮件形式发送。 </w:t>
      </w:r>
    </w:p>
    <w:p>
      <w:pPr>
        <w:spacing w:line="360" w:lineRule="auto"/>
        <w:ind w:firstLine="422" w:firstLineChars="200"/>
        <w:rPr>
          <w:rFonts w:ascii="宋体" w:hAnsi="宋体" w:cs="宋体"/>
          <w:szCs w:val="21"/>
        </w:rPr>
      </w:pPr>
      <w:r>
        <w:rPr>
          <w:rFonts w:hint="eastAsia" w:ascii="宋体" w:hAnsi="宋体" w:cs="宋体"/>
          <w:b/>
          <w:bCs/>
          <w:szCs w:val="21"/>
        </w:rPr>
        <w:t>邮箱地址：</w:t>
      </w:r>
      <w:r>
        <w:rPr>
          <w:rFonts w:hint="eastAsia" w:ascii="宋体" w:hAnsi="宋体" w:cs="宋体"/>
          <w:szCs w:val="21"/>
        </w:rPr>
        <w:t>xzy_9920@163.com</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 xml:space="preserve">2. 论证时间： </w:t>
      </w:r>
      <w:r>
        <w:rPr>
          <w:rFonts w:hint="eastAsia" w:ascii="宋体" w:hAnsi="宋体" w:cs="宋体"/>
          <w:szCs w:val="21"/>
          <w:lang w:val="en-US" w:eastAsia="zh-CN"/>
        </w:rPr>
        <w:t>2022年9月7日</w:t>
      </w:r>
      <w:bookmarkStart w:id="2" w:name="_GoBack"/>
      <w:bookmarkEnd w:id="2"/>
    </w:p>
    <w:p>
      <w:pPr>
        <w:spacing w:line="360" w:lineRule="auto"/>
        <w:ind w:firstLine="420" w:firstLineChars="200"/>
        <w:rPr>
          <w:rFonts w:ascii="宋体" w:hAnsi="宋体" w:cs="宋体"/>
          <w:szCs w:val="21"/>
        </w:rPr>
      </w:pPr>
      <w:r>
        <w:rPr>
          <w:rFonts w:hint="eastAsia" w:ascii="宋体" w:hAnsi="宋体" w:cs="宋体"/>
          <w:szCs w:val="21"/>
        </w:rPr>
        <w:t>3. 论证地点： 江宁医院3号楼7楼规划室。</w:t>
      </w:r>
    </w:p>
    <w:p>
      <w:pPr>
        <w:spacing w:line="360" w:lineRule="auto"/>
        <w:ind w:firstLine="420" w:firstLineChars="200"/>
        <w:rPr>
          <w:rFonts w:ascii="宋体" w:hAnsi="宋体" w:cs="宋体"/>
          <w:szCs w:val="21"/>
        </w:rPr>
      </w:pPr>
      <w:r>
        <w:rPr>
          <w:rFonts w:hint="eastAsia" w:ascii="宋体" w:hAnsi="宋体" w:cs="宋体"/>
          <w:szCs w:val="21"/>
        </w:rPr>
        <w:t>4. 联系电话：13645153881        联系人：熊老师</w:t>
      </w:r>
    </w:p>
    <w:p>
      <w:pPr>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kern w:val="0"/>
          <w:sz w:val="28"/>
          <w:szCs w:val="28"/>
        </w:rPr>
      </w:pPr>
      <w:r>
        <w:rPr>
          <w:rFonts w:hint="eastAsia" w:ascii="宋体" w:hAnsi="宋体" w:cs="宋体"/>
          <w:b/>
          <w:kern w:val="0"/>
          <w:sz w:val="28"/>
          <w:szCs w:val="28"/>
        </w:rPr>
        <w:t>第二章  技术参数及要求</w:t>
      </w:r>
    </w:p>
    <w:p>
      <w:pPr>
        <w:pStyle w:val="22"/>
        <w:numPr>
          <w:ilvl w:val="255"/>
          <w:numId w:val="0"/>
        </w:numPr>
        <w:ind w:firstLine="422" w:firstLineChars="200"/>
        <w:rPr>
          <w:rFonts w:ascii="宋体" w:hAnsi="宋体" w:eastAsia="宋体" w:cs="宋体"/>
          <w:b/>
          <w:sz w:val="21"/>
          <w:szCs w:val="21"/>
        </w:rPr>
      </w:pPr>
      <w:r>
        <w:rPr>
          <w:rFonts w:hint="eastAsia" w:ascii="宋体" w:hAnsi="宋体" w:eastAsia="宋体" w:cs="宋体"/>
          <w:b/>
          <w:sz w:val="21"/>
          <w:szCs w:val="21"/>
        </w:rPr>
        <w:t>一、项目背景：</w:t>
      </w:r>
    </w:p>
    <w:p>
      <w:pPr>
        <w:pStyle w:val="22"/>
        <w:rPr>
          <w:rFonts w:ascii="宋体" w:hAnsi="宋体" w:eastAsia="宋体" w:cs="宋体"/>
          <w:bCs/>
          <w:sz w:val="21"/>
          <w:szCs w:val="21"/>
        </w:rPr>
      </w:pPr>
      <w:r>
        <w:rPr>
          <w:rFonts w:hint="eastAsia" w:ascii="宋体" w:hAnsi="宋体" w:eastAsia="宋体" w:cs="宋体"/>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pPr>
        <w:pStyle w:val="22"/>
        <w:rPr>
          <w:rFonts w:ascii="宋体" w:hAnsi="宋体" w:eastAsia="宋体" w:cs="宋体"/>
          <w:bCs/>
          <w:sz w:val="21"/>
          <w:szCs w:val="21"/>
        </w:rPr>
      </w:pPr>
      <w:r>
        <w:rPr>
          <w:rFonts w:hint="eastAsia" w:ascii="宋体" w:hAnsi="宋体" w:eastAsia="宋体" w:cs="宋体"/>
          <w:bCs/>
          <w:sz w:val="21"/>
          <w:szCs w:val="21"/>
        </w:rPr>
        <w:t>为满足我院三级医院复评、三级公立医院绩效考核等内容，我院急需建立一套智慧运营管理分析平台，从内部进行决策分析，从根本上解决医院运营管理的问题。通过技术手段搭建合理的运营管理系统，以运营管理数据中心为基础，接入LIS、PACS系统、HIS系统、手麻系统、病案系统、SPD药品系统、人力资源系统的数据，为各项运营指标报表提供数据支撑，药研项目与资产项目的预算管理全面实施。根据智慧医院建设尤其是智慧财务建设的要求，以新的业务架构为导向，升级、拓展现有财务管理信息平台，为提升医院运营管理规范化、精细化、科学化水平台提供信息支撑。同时也使得医院在管控方面实现了统一化、同质化、合理化、规范化、科学化，提高运营管理方面的各项工作的效率和整体水平。</w:t>
      </w:r>
    </w:p>
    <w:p>
      <w:pPr>
        <w:pStyle w:val="22"/>
        <w:ind w:firstLine="0" w:firstLineChars="0"/>
        <w:rPr>
          <w:rFonts w:ascii="宋体" w:hAnsi="宋体" w:eastAsia="宋体" w:cs="宋体"/>
          <w:b/>
          <w:sz w:val="21"/>
          <w:szCs w:val="21"/>
        </w:rPr>
      </w:pPr>
      <w:r>
        <w:rPr>
          <w:rFonts w:hint="eastAsia" w:ascii="宋体" w:hAnsi="宋体" w:eastAsia="宋体" w:cs="宋体"/>
          <w:b/>
          <w:sz w:val="21"/>
          <w:szCs w:val="21"/>
        </w:rPr>
        <w:t>二、采购需求：</w:t>
      </w:r>
    </w:p>
    <w:tbl>
      <w:tblPr>
        <w:tblStyle w:val="15"/>
        <w:tblpPr w:leftFromText="180" w:rightFromText="180" w:vertAnchor="text" w:horzAnchor="page" w:tblpX="1722" w:tblpY="33"/>
        <w:tblOverlap w:val="never"/>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454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54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项    目</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数量</w:t>
            </w:r>
          </w:p>
        </w:tc>
        <w:tc>
          <w:tcPr>
            <w:tcW w:w="1420" w:type="dxa"/>
            <w:shd w:val="clear" w:color="000000" w:fill="F2F2F2"/>
            <w:vAlign w:val="center"/>
          </w:tcPr>
          <w:p>
            <w:pPr>
              <w:spacing w:line="360" w:lineRule="auto"/>
              <w:jc w:val="center"/>
              <w:rPr>
                <w:rFonts w:ascii="宋体" w:hAnsi="宋体" w:cs="宋体"/>
                <w:b/>
                <w:bCs/>
                <w:szCs w:val="21"/>
              </w:rPr>
            </w:pPr>
            <w:r>
              <w:rPr>
                <w:rFonts w:hint="eastAsia" w:ascii="宋体" w:hAnsi="宋体" w:cs="宋体"/>
                <w:b/>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1</w:t>
            </w:r>
          </w:p>
        </w:tc>
        <w:tc>
          <w:tcPr>
            <w:tcW w:w="4540" w:type="dxa"/>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运营管理数据中心</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2</w:t>
            </w:r>
          </w:p>
        </w:tc>
        <w:tc>
          <w:tcPr>
            <w:tcW w:w="4540" w:type="dxa"/>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药研项目管理</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3</w:t>
            </w:r>
          </w:p>
        </w:tc>
        <w:tc>
          <w:tcPr>
            <w:tcW w:w="4540" w:type="dxa"/>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资产项目预算编制</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0" w:type="dxa"/>
            <w:vAlign w:val="center"/>
          </w:tcPr>
          <w:p>
            <w:pPr>
              <w:spacing w:line="360" w:lineRule="auto"/>
              <w:ind w:firstLine="210" w:firstLineChars="100"/>
              <w:jc w:val="center"/>
              <w:rPr>
                <w:rFonts w:ascii="宋体" w:hAnsi="宋体" w:cs="宋体"/>
                <w:szCs w:val="21"/>
              </w:rPr>
            </w:pPr>
            <w:r>
              <w:rPr>
                <w:rFonts w:hint="eastAsia" w:ascii="宋体" w:hAnsi="宋体" w:cs="宋体"/>
                <w:szCs w:val="21"/>
              </w:rPr>
              <w:t>4</w:t>
            </w:r>
          </w:p>
        </w:tc>
        <w:tc>
          <w:tcPr>
            <w:tcW w:w="4540" w:type="dxa"/>
            <w:vAlign w:val="center"/>
          </w:tcPr>
          <w:p>
            <w:pPr>
              <w:widowControl/>
              <w:spacing w:line="360" w:lineRule="auto"/>
              <w:jc w:val="center"/>
              <w:rPr>
                <w:rFonts w:ascii="宋体" w:hAnsi="宋体" w:cs="宋体"/>
                <w:color w:val="000000"/>
                <w:kern w:val="0"/>
              </w:rPr>
            </w:pPr>
            <w:r>
              <w:rPr>
                <w:rFonts w:hint="eastAsia" w:ascii="宋体" w:hAnsi="宋体" w:cs="宋体"/>
                <w:color w:val="000000"/>
                <w:kern w:val="0"/>
              </w:rPr>
              <w:t>人力资源信息管理</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420" w:type="dxa"/>
            <w:vAlign w:val="center"/>
          </w:tcPr>
          <w:p>
            <w:pPr>
              <w:spacing w:line="360" w:lineRule="auto"/>
              <w:jc w:val="center"/>
              <w:rPr>
                <w:rFonts w:ascii="宋体" w:hAnsi="宋体" w:cs="宋体"/>
                <w:szCs w:val="21"/>
              </w:rPr>
            </w:pPr>
            <w:r>
              <w:rPr>
                <w:rFonts w:hint="eastAsia" w:ascii="宋体" w:hAnsi="宋体" w:cs="宋体"/>
                <w:szCs w:val="21"/>
              </w:rPr>
              <w:t>套</w:t>
            </w:r>
          </w:p>
        </w:tc>
      </w:tr>
    </w:tbl>
    <w:p>
      <w:pPr>
        <w:pStyle w:val="23"/>
        <w:numPr>
          <w:ilvl w:val="0"/>
          <w:numId w:val="1"/>
        </w:numPr>
        <w:ind w:firstLine="0" w:firstLineChars="0"/>
        <w:rPr>
          <w:rFonts w:ascii="宋体" w:hAnsi="宋体"/>
          <w:b/>
          <w:kern w:val="0"/>
          <w:sz w:val="21"/>
          <w:szCs w:val="21"/>
        </w:rPr>
      </w:pPr>
      <w:r>
        <w:rPr>
          <w:rFonts w:hint="eastAsia" w:ascii="宋体" w:hAnsi="宋体"/>
          <w:b/>
          <w:kern w:val="0"/>
          <w:sz w:val="21"/>
          <w:szCs w:val="21"/>
        </w:rPr>
        <w:t>招标参数</w:t>
      </w:r>
    </w:p>
    <w:p>
      <w:pPr>
        <w:spacing w:line="400" w:lineRule="exact"/>
        <w:rPr>
          <w:rFonts w:ascii="宋体" w:hAnsi="宋体" w:cs="宋体"/>
          <w:b/>
          <w:bCs/>
          <w:color w:val="000000"/>
          <w:kern w:val="0"/>
          <w:szCs w:val="21"/>
        </w:rPr>
      </w:pPr>
      <w:r>
        <w:rPr>
          <w:rFonts w:hint="eastAsia" w:ascii="宋体" w:hAnsi="宋体" w:cs="宋体"/>
          <w:b/>
          <w:bCs/>
          <w:color w:val="000000"/>
          <w:kern w:val="0"/>
          <w:szCs w:val="21"/>
        </w:rPr>
        <w:t>（一）总体要求</w:t>
      </w:r>
    </w:p>
    <w:p>
      <w:pPr>
        <w:spacing w:line="400" w:lineRule="exact"/>
        <w:ind w:firstLine="400" w:firstLineChars="200"/>
        <w:jc w:val="left"/>
        <w:rPr>
          <w:rFonts w:ascii="宋体" w:hAnsi="宋体" w:cs="宋体"/>
          <w:bCs/>
          <w:sz w:val="20"/>
          <w:szCs w:val="20"/>
        </w:rPr>
      </w:pPr>
      <w:r>
        <w:rPr>
          <w:rFonts w:hint="eastAsia" w:ascii="宋体" w:hAnsi="宋体" w:cs="宋体"/>
          <w:bCs/>
          <w:sz w:val="20"/>
          <w:szCs w:val="20"/>
        </w:rPr>
        <w:t>（1）供应商需提供运营管理数据中心的数据采集接口说明，药研项目管理系统、资产项目预算编制的操作说明，人力资源信息管理系统的接口说明。</w:t>
      </w:r>
    </w:p>
    <w:p>
      <w:pPr>
        <w:spacing w:line="400" w:lineRule="exact"/>
        <w:ind w:firstLine="400" w:firstLineChars="200"/>
        <w:jc w:val="left"/>
        <w:rPr>
          <w:rFonts w:ascii="宋体" w:hAnsi="宋体" w:cs="宋体"/>
          <w:bCs/>
          <w:color w:val="000000"/>
          <w:sz w:val="20"/>
          <w:szCs w:val="20"/>
        </w:rPr>
      </w:pPr>
      <w:r>
        <w:rPr>
          <w:rFonts w:hint="eastAsia" w:ascii="宋体" w:hAnsi="宋体" w:cs="宋体"/>
          <w:bCs/>
          <w:sz w:val="20"/>
          <w:szCs w:val="20"/>
        </w:rPr>
        <w:t>（2）供应商需提供模拟测试系统</w:t>
      </w:r>
      <w:r>
        <w:rPr>
          <w:rFonts w:hint="eastAsia" w:ascii="宋体" w:hAnsi="宋体" w:cs="宋体"/>
          <w:bCs/>
          <w:color w:val="000000"/>
          <w:sz w:val="20"/>
          <w:szCs w:val="20"/>
        </w:rPr>
        <w:t>，用户可以模拟院领导/科主任、查看分析指标，以验证系统规则以及自定义规则的合理性和有效性，验证过程不能干扰科室实际运营情况。</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（3）系统要求以B/S架构部署，软件系统以浏览器为统一操作界面。</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（4）系统和医院各业务信息系统的对接，可通过多种接口方式进行，以达到实时干预、实时审方、实时分析的效果。</w:t>
      </w:r>
    </w:p>
    <w:p>
      <w:pPr>
        <w:spacing w:line="400" w:lineRule="exact"/>
        <w:ind w:firstLine="400" w:firstLineChars="200"/>
        <w:jc w:val="left"/>
        <w:rPr>
          <w:rFonts w:ascii="宋体" w:hAnsi="宋体" w:cs="宋体"/>
          <w:bCs/>
          <w:color w:val="000000"/>
          <w:sz w:val="20"/>
          <w:szCs w:val="20"/>
        </w:rPr>
      </w:pPr>
      <w:r>
        <w:rPr>
          <w:rFonts w:hint="eastAsia" w:ascii="宋体" w:hAnsi="宋体" w:cs="宋体"/>
          <w:bCs/>
          <w:color w:val="000000"/>
          <w:sz w:val="20"/>
          <w:szCs w:val="20"/>
        </w:rPr>
        <w:t>（5）部署运营管理数据中心、药研项目管理、资产项目预算编制、人力资源信息管理项目所需的操作系统和数据库软件系统由供应商提供并安装，要求无版权问题。</w:t>
      </w:r>
    </w:p>
    <w:p>
      <w:pPr>
        <w:pStyle w:val="23"/>
        <w:ind w:firstLine="0" w:firstLineChars="0"/>
        <w:rPr>
          <w:rFonts w:ascii="宋体" w:hAnsi="宋体"/>
          <w:b/>
          <w:kern w:val="0"/>
          <w:sz w:val="21"/>
          <w:szCs w:val="21"/>
        </w:rPr>
      </w:pPr>
      <w:r>
        <w:rPr>
          <w:rFonts w:hint="eastAsia" w:ascii="宋体" w:hAnsi="宋体"/>
          <w:b/>
          <w:kern w:val="0"/>
          <w:sz w:val="21"/>
          <w:szCs w:val="21"/>
        </w:rPr>
        <w:t>（二）系统功能技术参数要求</w:t>
      </w:r>
    </w:p>
    <w:p>
      <w:pPr>
        <w:spacing w:before="120" w:line="360" w:lineRule="auto"/>
        <w:jc w:val="left"/>
      </w:pPr>
      <w:r>
        <w:rPr>
          <w:rFonts w:hint="eastAsia" w:ascii="宋体" w:hAnsi="宋体" w:cs="宋体"/>
          <w:b/>
          <w:sz w:val="22"/>
        </w:rPr>
        <w:t>1）</w:t>
      </w:r>
      <w:r>
        <w:rPr>
          <w:rFonts w:hint="eastAsia"/>
        </w:rPr>
        <w:t>运营管理数据中心</w:t>
      </w:r>
    </w:p>
    <w:tbl>
      <w:tblPr>
        <w:tblStyle w:val="15"/>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600"/>
        <w:gridCol w:w="1496"/>
        <w:gridCol w:w="532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模块功能类别</w:t>
            </w:r>
          </w:p>
        </w:tc>
        <w:tc>
          <w:tcPr>
            <w:tcW w:w="4049"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LIS、PACS系统</w:t>
            </w: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数据采集接口</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病人检查等记录信息</w:t>
            </w:r>
            <w:r>
              <w:rPr>
                <w:rFonts w:hint="eastAsia" w:ascii="宋体" w:hAnsi="宋体" w:cs="宋体"/>
                <w:sz w:val="20"/>
                <w:szCs w:val="20"/>
                <w:lang w:val="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HIS系统</w:t>
            </w: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数据采集接口</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门诊诊位信息、住院床位信息，门急诊挂好记录、住院入出院转科记录等信息</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手麻系统</w:t>
            </w: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数据采集接口</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手术记录数据，满足运营管理对病人手术记录明细数据的确认、计量、记录、采集、校验、传输、存储、共享</w:t>
            </w:r>
            <w:r>
              <w:rPr>
                <w:rFonts w:hint="eastAsia" w:ascii="宋体" w:hAnsi="宋体" w:cs="宋体"/>
                <w:sz w:val="20"/>
                <w:szCs w:val="20"/>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病案系统</w:t>
            </w: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数据采集接口</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病人病案记录、手术记录、诊断记录、专科记录、重症病房记录数据，满足运营管理对病人在医院病人病情跟踪的确认、计量、记录、采集、校验、传输、存储、共享</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950"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eastAsia="zh-TW"/>
              </w:rPr>
            </w:pPr>
            <w:r>
              <w:rPr>
                <w:rFonts w:hint="eastAsia" w:ascii="宋体" w:hAnsi="宋体" w:cs="宋体"/>
                <w:sz w:val="20"/>
                <w:szCs w:val="20"/>
              </w:rPr>
              <w:t>SPD药品系统</w:t>
            </w:r>
          </w:p>
        </w:tc>
        <w:tc>
          <w:tcPr>
            <w:tcW w:w="888"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数据采集接口</w:t>
            </w:r>
          </w:p>
        </w:tc>
        <w:tc>
          <w:tcPr>
            <w:tcW w:w="316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药品入库记录、出库记录、发药记录、库存记录数据，满足运营管理对药品在医院消耗、流动轨迹的确认、计量、记录、采集、校验、传输、存储、共享</w:t>
            </w:r>
          </w:p>
        </w:tc>
      </w:tr>
    </w:tbl>
    <w:p>
      <w:pPr>
        <w:numPr>
          <w:ilvl w:val="0"/>
          <w:numId w:val="2"/>
        </w:numPr>
        <w:spacing w:before="120" w:line="360" w:lineRule="auto"/>
        <w:jc w:val="left"/>
        <w:rPr>
          <w:rFonts w:ascii="宋体" w:hAnsi="宋体" w:cs="宋体"/>
          <w:color w:val="000000"/>
          <w:kern w:val="0"/>
        </w:rPr>
      </w:pPr>
      <w:r>
        <w:rPr>
          <w:rFonts w:hint="eastAsia" w:ascii="宋体" w:hAnsi="宋体" w:cs="宋体"/>
          <w:color w:val="000000"/>
          <w:kern w:val="0"/>
        </w:rPr>
        <w:t>药研项目管理</w:t>
      </w:r>
    </w:p>
    <w:p>
      <w:pPr>
        <w:pStyle w:val="26"/>
        <w:spacing w:line="360" w:lineRule="auto"/>
        <w:rPr>
          <w:szCs w:val="28"/>
        </w:rPr>
      </w:pPr>
      <w:r>
        <w:rPr>
          <w:rFonts w:hint="eastAsia"/>
          <w:szCs w:val="28"/>
        </w:rPr>
        <w:t>为了实现医院药研项目专款专用，追踪药研项目收入及支出的过程，需要对医院在建药研项目进行项目基本信息、经费预算及经费支出的过程管理，能从多角度、多方式进行预算分析，对项目经费支出实现事前把关、事中审批、事后查询等管理。</w:t>
      </w:r>
    </w:p>
    <w:p>
      <w:pPr>
        <w:pStyle w:val="26"/>
        <w:spacing w:line="360" w:lineRule="auto"/>
        <w:rPr>
          <w:szCs w:val="28"/>
        </w:rPr>
      </w:pPr>
      <w:r>
        <w:rPr>
          <w:rFonts w:hint="eastAsia"/>
          <w:szCs w:val="28"/>
        </w:rPr>
        <w:t>药研项目管理系统需有以下功能：项目基础信息管理、经费来源预算管理、经费来源预算调整、经费支出预算管理、经费支出预算调整、经费来源到账管理、经费支出执行管理、项目查询分析管理、项目分类管理、经费支出项目管理、项目支出组套管理。</w:t>
      </w:r>
    </w:p>
    <w:p>
      <w:pPr>
        <w:numPr>
          <w:ilvl w:val="0"/>
          <w:numId w:val="2"/>
        </w:numPr>
        <w:spacing w:before="120" w:line="360" w:lineRule="auto"/>
        <w:jc w:val="left"/>
        <w:rPr>
          <w:rFonts w:ascii="宋体" w:hAnsi="宋体" w:cs="宋体"/>
          <w:color w:val="000000"/>
          <w:kern w:val="0"/>
        </w:rPr>
      </w:pPr>
      <w:bookmarkStart w:id="0" w:name="_Toc32285"/>
      <w:r>
        <w:rPr>
          <w:rFonts w:hint="eastAsia" w:ascii="宋体" w:hAnsi="宋体" w:cs="宋体"/>
          <w:color w:val="000000"/>
          <w:kern w:val="0"/>
        </w:rPr>
        <w:t>资产项目预算编制</w:t>
      </w:r>
      <w:bookmarkEnd w:id="0"/>
    </w:p>
    <w:p>
      <w:pPr>
        <w:pStyle w:val="26"/>
        <w:spacing w:line="360" w:lineRule="auto"/>
        <w:rPr>
          <w:szCs w:val="28"/>
        </w:rPr>
      </w:pPr>
      <w:r>
        <w:rPr>
          <w:rFonts w:hint="eastAsia"/>
          <w:szCs w:val="28"/>
        </w:rPr>
        <w:t>对资产类的购置预算进行项目立项和审批。包括通用设备、专用设备、信息设备、基建和车辆项目。</w:t>
      </w:r>
    </w:p>
    <w:p>
      <w:pPr>
        <w:pStyle w:val="26"/>
        <w:spacing w:line="360" w:lineRule="auto"/>
        <w:ind w:left="420" w:firstLine="0" w:firstLineChars="0"/>
      </w:pPr>
      <w:r>
        <w:rPr>
          <w:rFonts w:hint="eastAsia"/>
        </w:rPr>
        <w:t>功能内容需包括指标相关、项目配置、项目相关、审核相关、资产购置。</w:t>
      </w:r>
    </w:p>
    <w:p>
      <w:pPr>
        <w:spacing w:before="120" w:line="360" w:lineRule="auto"/>
        <w:jc w:val="left"/>
      </w:pPr>
      <w:r>
        <w:rPr>
          <w:rFonts w:hint="eastAsia" w:ascii="宋体" w:hAnsi="宋体" w:cs="宋体"/>
          <w:b/>
          <w:sz w:val="22"/>
        </w:rPr>
        <w:t>4）</w:t>
      </w:r>
      <w:bookmarkStart w:id="1" w:name="_Toc10164"/>
      <w:r>
        <w:rPr>
          <w:rFonts w:hint="eastAsia" w:ascii="宋体" w:hAnsi="宋体" w:cs="宋体"/>
          <w:color w:val="000000"/>
          <w:kern w:val="0"/>
        </w:rPr>
        <w:t>人力资源信息管理</w:t>
      </w:r>
      <w:bookmarkEnd w:id="1"/>
    </w:p>
    <w:tbl>
      <w:tblPr>
        <w:tblStyle w:val="15"/>
        <w:tblW w:w="4859"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1806"/>
        <w:gridCol w:w="1610"/>
        <w:gridCol w:w="50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07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模块功能类别</w:t>
            </w:r>
          </w:p>
        </w:tc>
        <w:tc>
          <w:tcPr>
            <w:tcW w:w="3927" w:type="pct"/>
            <w:gridSpan w:val="2"/>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jc w:val="center"/>
              <w:rPr>
                <w:rFonts w:ascii="宋体" w:hAnsi="宋体" w:cs="宋体"/>
                <w:sz w:val="20"/>
                <w:szCs w:val="20"/>
              </w:rPr>
            </w:pPr>
            <w:r>
              <w:rPr>
                <w:rFonts w:hint="eastAsia" w:ascii="宋体" w:hAnsi="宋体" w:cs="宋体"/>
                <w:sz w:val="20"/>
                <w:szCs w:val="20"/>
              </w:rPr>
              <w:t>技术指标及性能说明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0" w:hRule="atLeast"/>
          <w:jc w:val="center"/>
        </w:trPr>
        <w:tc>
          <w:tcPr>
            <w:tcW w:w="107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人力资源管理系统</w:t>
            </w:r>
          </w:p>
        </w:tc>
        <w:tc>
          <w:tcPr>
            <w:tcW w:w="95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rPr>
            </w:pPr>
            <w:r>
              <w:rPr>
                <w:rFonts w:hint="eastAsia" w:ascii="宋体" w:hAnsi="宋体" w:cs="宋体"/>
                <w:sz w:val="20"/>
                <w:szCs w:val="20"/>
              </w:rPr>
              <w:t>数据采集接口</w:t>
            </w:r>
          </w:p>
        </w:tc>
        <w:tc>
          <w:tcPr>
            <w:tcW w:w="2971"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400" w:lineRule="exact"/>
              <w:rPr>
                <w:rFonts w:ascii="宋体" w:hAnsi="宋体" w:cs="宋体"/>
                <w:sz w:val="20"/>
                <w:szCs w:val="20"/>
                <w:lang w:val="zh-TW"/>
              </w:rPr>
            </w:pPr>
            <w:r>
              <w:rPr>
                <w:rFonts w:hint="eastAsia" w:ascii="宋体" w:hAnsi="宋体" w:cs="宋体"/>
                <w:sz w:val="20"/>
                <w:szCs w:val="20"/>
              </w:rPr>
              <w:t>通过员工岗位、支撑、学位、学历、年龄、用工形式、单位归属及卫生统计分类，进行各科室的人力资源信息统计与分析、下钻查询与排名等</w:t>
            </w:r>
          </w:p>
        </w:tc>
      </w:tr>
    </w:tbl>
    <w:p>
      <w:pPr>
        <w:pStyle w:val="23"/>
        <w:ind w:firstLine="0" w:firstLineChars="0"/>
        <w:rPr>
          <w:rFonts w:ascii="宋体" w:hAnsi="宋体"/>
          <w:b/>
          <w:kern w:val="0"/>
          <w:sz w:val="21"/>
          <w:szCs w:val="21"/>
        </w:rPr>
      </w:pPr>
      <w:r>
        <w:rPr>
          <w:rFonts w:hint="eastAsia" w:ascii="宋体" w:hAnsi="宋体"/>
          <w:b/>
          <w:kern w:val="0"/>
          <w:sz w:val="21"/>
          <w:szCs w:val="21"/>
        </w:rPr>
        <w:t>四、实施及售后服务要求：</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（1）实施管理要求：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1、供应商应提供高质量的实施团队，并尽快在规定的时间内完成项目的实施工作，确保软件可以按时上线运行。</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2、实施内容</w:t>
      </w:r>
    </w:p>
    <w:p>
      <w:pPr>
        <w:spacing w:line="400" w:lineRule="exact"/>
        <w:ind w:firstLine="424" w:firstLineChars="200"/>
        <w:jc w:val="left"/>
        <w:rPr>
          <w:rFonts w:ascii="宋体" w:hAnsi="宋体" w:cs="宋体"/>
          <w:spacing w:val="6"/>
          <w:kern w:val="48"/>
          <w:sz w:val="20"/>
          <w:szCs w:val="20"/>
        </w:rPr>
      </w:pPr>
      <w:r>
        <w:rPr>
          <w:rFonts w:hint="eastAsia" w:ascii="宋体" w:hAnsi="宋体" w:cs="宋体"/>
          <w:color w:val="000000"/>
          <w:spacing w:val="6"/>
          <w:kern w:val="48"/>
          <w:sz w:val="20"/>
          <w:szCs w:val="20"/>
        </w:rPr>
        <w:t>项目正式验收前的系统运行维护工作，主要由供应商项目组系统维护部负责。</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2.1 完成“</w:t>
      </w:r>
      <w:r>
        <w:rPr>
          <w:rFonts w:hint="eastAsia" w:ascii="宋体" w:hAnsi="宋体" w:cs="宋体"/>
          <w:color w:val="000000"/>
          <w:spacing w:val="6"/>
          <w:kern w:val="48"/>
          <w:sz w:val="20"/>
          <w:szCs w:val="20"/>
        </w:rPr>
        <w:t>运营管理数据中心、药研项目管理、资产项目预算编制、人力资源信息管理项目</w:t>
      </w:r>
      <w:r>
        <w:rPr>
          <w:rFonts w:hint="eastAsia" w:ascii="宋体" w:hAnsi="宋体" w:cs="宋体"/>
          <w:spacing w:val="6"/>
          <w:kern w:val="48"/>
          <w:sz w:val="20"/>
          <w:szCs w:val="20"/>
        </w:rPr>
        <w:t>”，由专业技术人员上门安装、调试、配置系统。</w:t>
      </w:r>
    </w:p>
    <w:p>
      <w:pPr>
        <w:spacing w:line="400" w:lineRule="exact"/>
        <w:ind w:firstLine="424" w:firstLineChars="200"/>
        <w:jc w:val="left"/>
        <w:rPr>
          <w:rFonts w:ascii="宋体" w:hAnsi="宋体" w:cs="宋体"/>
          <w:spacing w:val="6"/>
          <w:kern w:val="48"/>
          <w:sz w:val="20"/>
          <w:szCs w:val="20"/>
        </w:rPr>
      </w:pPr>
      <w:r>
        <w:rPr>
          <w:rFonts w:hint="eastAsia" w:ascii="宋体" w:hAnsi="宋体" w:cs="宋体"/>
          <w:spacing w:val="6"/>
          <w:kern w:val="48"/>
          <w:sz w:val="20"/>
          <w:szCs w:val="20"/>
        </w:rPr>
        <w:t>2.2 定制开发相关数据采集接口。</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spacing w:val="6"/>
          <w:kern w:val="48"/>
          <w:sz w:val="20"/>
          <w:szCs w:val="20"/>
        </w:rPr>
        <w:t>2.3 培训相关操作和管理人员，保障工作人员能熟练操作本项目系统，制定培训计划，包括但不限于（1）对院领导、科主任、归口负责人、科室人员等不同对象的培训计划；（2）培训课程安排、培训方式由原厂商提供，时间</w:t>
      </w:r>
      <w:r>
        <w:rPr>
          <w:rFonts w:hint="eastAsia" w:ascii="宋体" w:hAnsi="宋体" w:cs="宋体"/>
          <w:color w:val="000000"/>
          <w:spacing w:val="6"/>
          <w:kern w:val="48"/>
          <w:sz w:val="20"/>
          <w:szCs w:val="20"/>
        </w:rPr>
        <w:t>、地点及场所由医院提供;（3）提供系统操作培训：主要面向医生、药学人员等使用系统的人员，提供操作培训。</w:t>
      </w:r>
    </w:p>
    <w:p>
      <w:pPr>
        <w:pStyle w:val="2"/>
        <w:ind w:firstLine="424" w:firstLineChars="200"/>
        <w:rPr>
          <w:rFonts w:ascii="宋体" w:hAnsi="宋体" w:eastAsia="宋体" w:cs="宋体"/>
          <w:color w:val="000000"/>
          <w:spacing w:val="6"/>
          <w:kern w:val="48"/>
          <w:sz w:val="20"/>
          <w:szCs w:val="20"/>
        </w:rPr>
      </w:pPr>
      <w:r>
        <w:rPr>
          <w:rFonts w:hint="eastAsia" w:ascii="宋体" w:hAnsi="宋体" w:eastAsia="宋体" w:cs="宋体"/>
          <w:color w:val="000000"/>
          <w:spacing w:val="6"/>
          <w:kern w:val="48"/>
          <w:sz w:val="20"/>
          <w:szCs w:val="20"/>
        </w:rPr>
        <w:t>2.4 提供系统用户手册，讲授说明系统安装、维护和应该注意的事项。</w:t>
      </w:r>
    </w:p>
    <w:p>
      <w:pPr>
        <w:spacing w:line="400" w:lineRule="exact"/>
        <w:jc w:val="left"/>
        <w:rPr>
          <w:rFonts w:ascii="宋体" w:hAnsi="宋体" w:cs="宋体"/>
          <w:b/>
          <w:color w:val="000000"/>
          <w:spacing w:val="6"/>
          <w:kern w:val="48"/>
          <w:sz w:val="20"/>
          <w:szCs w:val="20"/>
        </w:rPr>
      </w:pPr>
      <w:r>
        <w:rPr>
          <w:rFonts w:hint="eastAsia" w:ascii="宋体" w:hAnsi="宋体" w:cs="宋体"/>
          <w:b/>
          <w:color w:val="000000"/>
          <w:spacing w:val="6"/>
          <w:kern w:val="48"/>
          <w:sz w:val="20"/>
          <w:szCs w:val="20"/>
          <w:u w:val="single"/>
        </w:rPr>
        <w:t>（2）售后服务要求：</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1、售后服务机制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1.1.供应商应提供全方位的服务，包括：技术咨询、操作培训、系统维护、数据库调优等。</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1.2.有专门的服务队伍，以确保服务畅通和高效，实行项目经理负责制。</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1.3.有完备的跟踪服务制度，通过定期的电话回访、走访等方式对服务进行跟踪，以保证客户满意。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2、售后服务体系</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2.1.供应商应拥有专业的开发团队，在项目实施前后为用户提供一致的技术支持体验，其中包括技术咨询、实施指导、运行维护和定期回访等，能解决项目运行过程中的技术问题。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2.2对项目实行“首问负责制”，即对于采购人所提出的需要解决和服务的问题，只要将该问题对售后服务部门内任何一位员工反映即可得到主动式服务。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3、售后服务方式</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3.1.电话支持，为使用方提供 8 小时×365 天的全方位服务，除了提供公司的技术服务支持电话外，还应注明项目主要技术成员的移动电话，用于双方及时沟通并解决问题，电话支持即时响应。</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3.2.现场服务，对于电话不能很好解决及其他必须亲临现场服务的内容，供应商应在第一时间根据具体情况迅速安排人员24小时内快速到达现场提供服务。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3.3远程服务，供应商可借助网络工具远程实时维护系统，如 QQ、微信远程协助等功能对采购人系统进行远程实时系统维护及操作指导，帮助采购人快速解决遇到的大多数软件及系统方面的问题。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4、售后服务范围</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4.1.提供相关帮助文档，开展相关培训；</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4.2.日常运行中的故障排除及维护；系统所处网络环境、主机及其他外设适配带来的调整工作；系统与其他软件适配带来的调整工作；</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4.3.随着软件产品不断的更新换代，主动及时地给采购人发放升级信息等相关资料，根据采购人需求为其提供个性化升级服务；</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4.4.其他可通过远程协助解决的技术问题；</w:t>
      </w:r>
    </w:p>
    <w:p>
      <w:pPr>
        <w:spacing w:line="400" w:lineRule="exact"/>
        <w:ind w:firstLine="424" w:firstLineChars="200"/>
        <w:jc w:val="left"/>
        <w:rPr>
          <w:rFonts w:ascii="宋体" w:hAnsi="宋体" w:cs="宋体"/>
          <w:color w:val="000000"/>
          <w:spacing w:val="6"/>
          <w:kern w:val="48"/>
          <w:sz w:val="20"/>
          <w:szCs w:val="20"/>
        </w:rPr>
      </w:pPr>
      <w:r>
        <w:rPr>
          <w:rFonts w:hint="eastAsia" w:ascii="宋体" w:hAnsi="宋体" w:cs="宋体"/>
          <w:color w:val="000000"/>
          <w:spacing w:val="6"/>
          <w:kern w:val="48"/>
          <w:sz w:val="20"/>
          <w:szCs w:val="20"/>
        </w:rPr>
        <w:t>5、</w:t>
      </w:r>
      <w:r>
        <w:rPr>
          <w:rFonts w:hint="eastAsia" w:ascii="宋体" w:hAnsi="宋体" w:cs="宋体"/>
          <w:color w:val="000000"/>
          <w:spacing w:val="6"/>
          <w:kern w:val="48"/>
          <w:sz w:val="20"/>
          <w:szCs w:val="20"/>
          <w:u w:val="single"/>
        </w:rPr>
        <w:t>售后服务维保要求：提供</w:t>
      </w:r>
      <w:r>
        <w:rPr>
          <w:rFonts w:ascii="宋体" w:hAnsi="宋体" w:cs="宋体"/>
          <w:color w:val="000000"/>
          <w:spacing w:val="6"/>
          <w:kern w:val="48"/>
          <w:sz w:val="20"/>
          <w:szCs w:val="20"/>
          <w:u w:val="single"/>
        </w:rPr>
        <w:t>1</w:t>
      </w:r>
      <w:r>
        <w:rPr>
          <w:rFonts w:hint="eastAsia" w:ascii="宋体" w:hAnsi="宋体" w:cs="宋体"/>
          <w:color w:val="000000"/>
          <w:spacing w:val="6"/>
          <w:kern w:val="48"/>
          <w:sz w:val="20"/>
          <w:szCs w:val="20"/>
          <w:u w:val="single"/>
        </w:rPr>
        <w:t>年免费质保服务</w:t>
      </w:r>
      <w:r>
        <w:rPr>
          <w:rFonts w:hint="eastAsia" w:ascii="宋体" w:hAnsi="宋体" w:cs="宋体"/>
          <w:color w:val="000000"/>
          <w:spacing w:val="6"/>
          <w:kern w:val="48"/>
          <w:sz w:val="20"/>
          <w:szCs w:val="20"/>
        </w:rPr>
        <w:t>。</w:t>
      </w:r>
    </w:p>
    <w:p>
      <w:pPr>
        <w:pStyle w:val="2"/>
        <w:rPr>
          <w:rFonts w:ascii="宋体" w:hAnsi="宋体" w:eastAsia="宋体" w:cs="宋体"/>
          <w:color w:val="000000"/>
          <w:spacing w:val="6"/>
          <w:kern w:val="48"/>
          <w:sz w:val="24"/>
          <w:szCs w:val="24"/>
        </w:rPr>
      </w:pPr>
    </w:p>
    <w:sectPr>
      <w:pgSz w:w="11906" w:h="16838"/>
      <w:pgMar w:top="1134" w:right="1701" w:bottom="85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B8750"/>
    <w:multiLevelType w:val="singleLevel"/>
    <w:tmpl w:val="B1CB8750"/>
    <w:lvl w:ilvl="0" w:tentative="0">
      <w:start w:val="3"/>
      <w:numFmt w:val="chineseCounting"/>
      <w:suff w:val="nothing"/>
      <w:lvlText w:val="%1、"/>
      <w:lvlJc w:val="left"/>
      <w:rPr>
        <w:rFonts w:hint="eastAsia"/>
      </w:rPr>
    </w:lvl>
  </w:abstractNum>
  <w:abstractNum w:abstractNumId="1">
    <w:nsid w:val="2F2167A3"/>
    <w:multiLevelType w:val="singleLevel"/>
    <w:tmpl w:val="2F2167A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1D01BD"/>
    <w:rsid w:val="00026349"/>
    <w:rsid w:val="00030F32"/>
    <w:rsid w:val="00050FC1"/>
    <w:rsid w:val="000D3667"/>
    <w:rsid w:val="000E54B9"/>
    <w:rsid w:val="001A6744"/>
    <w:rsid w:val="001C52C2"/>
    <w:rsid w:val="001D01BD"/>
    <w:rsid w:val="00210D97"/>
    <w:rsid w:val="00271742"/>
    <w:rsid w:val="002C318E"/>
    <w:rsid w:val="00333376"/>
    <w:rsid w:val="00376493"/>
    <w:rsid w:val="00396053"/>
    <w:rsid w:val="00407202"/>
    <w:rsid w:val="00426BF6"/>
    <w:rsid w:val="00443342"/>
    <w:rsid w:val="004612F6"/>
    <w:rsid w:val="004627CE"/>
    <w:rsid w:val="00492D7A"/>
    <w:rsid w:val="004D2F0A"/>
    <w:rsid w:val="00502365"/>
    <w:rsid w:val="00504398"/>
    <w:rsid w:val="005400B1"/>
    <w:rsid w:val="00540C49"/>
    <w:rsid w:val="005E7321"/>
    <w:rsid w:val="006521CA"/>
    <w:rsid w:val="006C3FEA"/>
    <w:rsid w:val="006D03D6"/>
    <w:rsid w:val="00701F0A"/>
    <w:rsid w:val="0071169A"/>
    <w:rsid w:val="00780935"/>
    <w:rsid w:val="007E4CEC"/>
    <w:rsid w:val="00842B4C"/>
    <w:rsid w:val="0087659C"/>
    <w:rsid w:val="008D50AB"/>
    <w:rsid w:val="009171F0"/>
    <w:rsid w:val="00930C42"/>
    <w:rsid w:val="00996543"/>
    <w:rsid w:val="00AB018F"/>
    <w:rsid w:val="00B00AA0"/>
    <w:rsid w:val="00B73265"/>
    <w:rsid w:val="00C13E3C"/>
    <w:rsid w:val="00C2167D"/>
    <w:rsid w:val="00C42CED"/>
    <w:rsid w:val="00CA7EB5"/>
    <w:rsid w:val="00CF1A81"/>
    <w:rsid w:val="00D918E8"/>
    <w:rsid w:val="00DD63E3"/>
    <w:rsid w:val="00DF6B7C"/>
    <w:rsid w:val="00E307A4"/>
    <w:rsid w:val="00E322E9"/>
    <w:rsid w:val="00E54901"/>
    <w:rsid w:val="00EC3904"/>
    <w:rsid w:val="00F06928"/>
    <w:rsid w:val="00F37A54"/>
    <w:rsid w:val="00F77940"/>
    <w:rsid w:val="00FA1EF5"/>
    <w:rsid w:val="00FB7872"/>
    <w:rsid w:val="045A69C0"/>
    <w:rsid w:val="05700B87"/>
    <w:rsid w:val="0A705385"/>
    <w:rsid w:val="10FA4306"/>
    <w:rsid w:val="113B0C7C"/>
    <w:rsid w:val="12821ED9"/>
    <w:rsid w:val="12CD72A7"/>
    <w:rsid w:val="15525935"/>
    <w:rsid w:val="17005FBC"/>
    <w:rsid w:val="176075D7"/>
    <w:rsid w:val="19EF52D8"/>
    <w:rsid w:val="1BCF0653"/>
    <w:rsid w:val="1DF51CE6"/>
    <w:rsid w:val="1DF8560E"/>
    <w:rsid w:val="1FC644C7"/>
    <w:rsid w:val="20711830"/>
    <w:rsid w:val="20E26732"/>
    <w:rsid w:val="220015D2"/>
    <w:rsid w:val="224B705D"/>
    <w:rsid w:val="2604539D"/>
    <w:rsid w:val="286949D5"/>
    <w:rsid w:val="29023D0F"/>
    <w:rsid w:val="2BB54F0C"/>
    <w:rsid w:val="2C3B438B"/>
    <w:rsid w:val="39886A9F"/>
    <w:rsid w:val="3B4E6061"/>
    <w:rsid w:val="3DF82808"/>
    <w:rsid w:val="3E337180"/>
    <w:rsid w:val="42A76F80"/>
    <w:rsid w:val="43E0128D"/>
    <w:rsid w:val="443F1892"/>
    <w:rsid w:val="4473751E"/>
    <w:rsid w:val="44895441"/>
    <w:rsid w:val="45AB08A9"/>
    <w:rsid w:val="486A6E89"/>
    <w:rsid w:val="491446BA"/>
    <w:rsid w:val="4A083D2C"/>
    <w:rsid w:val="4A5A760D"/>
    <w:rsid w:val="4D4128AF"/>
    <w:rsid w:val="4EA14C89"/>
    <w:rsid w:val="51295B34"/>
    <w:rsid w:val="52633DBC"/>
    <w:rsid w:val="5323137F"/>
    <w:rsid w:val="544E6B34"/>
    <w:rsid w:val="547200D6"/>
    <w:rsid w:val="551B611D"/>
    <w:rsid w:val="57791E3F"/>
    <w:rsid w:val="5A1E6A6C"/>
    <w:rsid w:val="5B846B77"/>
    <w:rsid w:val="5EF3773B"/>
    <w:rsid w:val="5FAE5769"/>
    <w:rsid w:val="66190B98"/>
    <w:rsid w:val="6764271C"/>
    <w:rsid w:val="681F6A8B"/>
    <w:rsid w:val="6C624A97"/>
    <w:rsid w:val="6DC15D38"/>
    <w:rsid w:val="70484351"/>
    <w:rsid w:val="731A162D"/>
    <w:rsid w:val="73A85F67"/>
    <w:rsid w:val="755B70CF"/>
    <w:rsid w:val="76B400D1"/>
    <w:rsid w:val="77CC1A02"/>
    <w:rsid w:val="77F373ED"/>
    <w:rsid w:val="7828099D"/>
    <w:rsid w:val="787B0173"/>
    <w:rsid w:val="79590AE4"/>
    <w:rsid w:val="797F1EE5"/>
    <w:rsid w:val="79955265"/>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3">
    <w:name w:val="Normal Indent"/>
    <w:basedOn w:val="1"/>
    <w:qFormat/>
    <w:uiPriority w:val="99"/>
    <w:pPr>
      <w:spacing w:line="360" w:lineRule="auto"/>
      <w:ind w:firstLine="420"/>
    </w:pPr>
    <w:rPr>
      <w:rFonts w:ascii="宋体" w:hAnsi="宋体"/>
      <w:sz w:val="24"/>
      <w:szCs w:val="20"/>
    </w:rPr>
  </w:style>
  <w:style w:type="paragraph" w:styleId="4">
    <w:name w:val="annotation text"/>
    <w:basedOn w:val="1"/>
    <w:semiHidden/>
    <w:unhideWhenUsed/>
    <w:qFormat/>
    <w:uiPriority w:val="99"/>
    <w:pPr>
      <w:jc w:val="left"/>
    </w:pPr>
  </w:style>
  <w:style w:type="paragraph" w:styleId="5">
    <w:name w:val="Body Text Indent"/>
    <w:basedOn w:val="1"/>
    <w:next w:val="6"/>
    <w:unhideWhenUsed/>
    <w:qFormat/>
    <w:uiPriority w:val="99"/>
    <w:pPr>
      <w:spacing w:after="120"/>
      <w:ind w:left="420" w:leftChars="200"/>
    </w:pPr>
    <w:rPr>
      <w:rFonts w:asciiTheme="minorHAnsi" w:hAnsiTheme="minorHAnsi" w:eastAsiaTheme="minorEastAsia" w:cstheme="minorBidi"/>
    </w:rPr>
  </w:style>
  <w:style w:type="paragraph" w:styleId="6">
    <w:name w:val="envelope return"/>
    <w:basedOn w:val="1"/>
    <w:unhideWhenUsed/>
    <w:qFormat/>
    <w:uiPriority w:val="99"/>
    <w:pPr>
      <w:snapToGrid w:val="0"/>
    </w:pPr>
    <w:rPr>
      <w:rFonts w:ascii="Arial" w:hAnsi="Arial"/>
    </w:rPr>
  </w:style>
  <w:style w:type="paragraph" w:styleId="7">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8">
    <w:name w:val="index 4"/>
    <w:basedOn w:val="1"/>
    <w:next w:val="1"/>
    <w:qFormat/>
    <w:uiPriority w:val="0"/>
    <w:pPr>
      <w:ind w:left="600" w:leftChars="600"/>
    </w:pPr>
    <w:rPr>
      <w:rFonts w:eastAsia="仿宋_GB2312"/>
      <w:sz w:val="24"/>
    </w:rPr>
  </w:style>
  <w:style w:type="paragraph" w:styleId="9">
    <w:name w:val="Balloon Text"/>
    <w:basedOn w:val="1"/>
    <w:link w:val="30"/>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qFormat/>
    <w:uiPriority w:val="0"/>
    <w:pPr>
      <w:spacing w:line="240" w:lineRule="atLeast"/>
      <w:jc w:val="center"/>
    </w:pPr>
    <w:rPr>
      <w:b/>
      <w:kern w:val="0"/>
      <w:sz w:val="30"/>
    </w:rPr>
  </w:style>
  <w:style w:type="paragraph" w:styleId="14">
    <w:name w:val="Body Text First Indent 2"/>
    <w:basedOn w:val="5"/>
    <w:qFormat/>
    <w:uiPriority w:val="0"/>
    <w:pPr>
      <w:spacing w:after="0" w:line="360" w:lineRule="auto"/>
      <w:ind w:left="0" w:leftChars="0" w:firstLine="420" w:firstLineChars="200"/>
    </w:pPr>
    <w:rPr>
      <w:rFonts w:ascii="宋体" w:hAnsi="宋体" w:eastAsia="宋体" w:cs="Times New Roman"/>
      <w:szCs w:val="20"/>
    </w:rPr>
  </w:style>
  <w:style w:type="table" w:styleId="16">
    <w:name w:val="Table Grid"/>
    <w:basedOn w:val="1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character" w:customStyle="1" w:styleId="19">
    <w:name w:val="页眉 字符"/>
    <w:basedOn w:val="17"/>
    <w:link w:val="11"/>
    <w:qFormat/>
    <w:uiPriority w:val="99"/>
    <w:rPr>
      <w:sz w:val="18"/>
      <w:szCs w:val="18"/>
    </w:rPr>
  </w:style>
  <w:style w:type="character" w:customStyle="1" w:styleId="20">
    <w:name w:val="页脚 字符"/>
    <w:basedOn w:val="17"/>
    <w:link w:val="10"/>
    <w:qFormat/>
    <w:uiPriority w:val="99"/>
    <w:rPr>
      <w:sz w:val="18"/>
      <w:szCs w:val="18"/>
    </w:rPr>
  </w:style>
  <w:style w:type="character" w:customStyle="1" w:styleId="21">
    <w:name w:val="列表段落 字符"/>
    <w:link w:val="22"/>
    <w:qFormat/>
    <w:uiPriority w:val="34"/>
    <w:rPr>
      <w:sz w:val="24"/>
      <w:szCs w:val="24"/>
    </w:rPr>
  </w:style>
  <w:style w:type="paragraph" w:customStyle="1" w:styleId="22">
    <w:name w:val="列出段落1"/>
    <w:basedOn w:val="1"/>
    <w:link w:val="21"/>
    <w:qFormat/>
    <w:uiPriority w:val="34"/>
    <w:pPr>
      <w:spacing w:line="360" w:lineRule="auto"/>
      <w:ind w:firstLine="420" w:firstLineChars="200"/>
    </w:pPr>
    <w:rPr>
      <w:rFonts w:asciiTheme="minorHAnsi" w:hAnsiTheme="minorHAnsi" w:eastAsiaTheme="minorEastAsia" w:cstheme="minorBidi"/>
      <w:sz w:val="24"/>
      <w:szCs w:val="24"/>
    </w:rPr>
  </w:style>
  <w:style w:type="paragraph" w:customStyle="1" w:styleId="23">
    <w:name w:val="样式 首行缩进:  2.25 字符"/>
    <w:basedOn w:val="1"/>
    <w:qFormat/>
    <w:uiPriority w:val="0"/>
    <w:pPr>
      <w:spacing w:line="360" w:lineRule="auto"/>
      <w:ind w:firstLine="225" w:firstLineChars="225"/>
    </w:pPr>
    <w:rPr>
      <w:rFonts w:cs="宋体"/>
      <w:sz w:val="24"/>
      <w:szCs w:val="20"/>
    </w:rPr>
  </w:style>
  <w:style w:type="paragraph" w:customStyle="1" w:styleId="24">
    <w:name w:val="列出段落2"/>
    <w:basedOn w:val="1"/>
    <w:qFormat/>
    <w:uiPriority w:val="34"/>
    <w:pPr>
      <w:ind w:firstLine="420" w:firstLineChars="200"/>
    </w:pPr>
    <w:rPr>
      <w:rFonts w:ascii="Times New Roman" w:hAnsi="Times New Roman"/>
      <w:szCs w:val="24"/>
    </w:rPr>
  </w:style>
  <w:style w:type="paragraph" w:customStyle="1" w:styleId="25">
    <w:name w:val="_Style 4"/>
    <w:basedOn w:val="1"/>
    <w:qFormat/>
    <w:uiPriority w:val="99"/>
    <w:pPr>
      <w:ind w:firstLine="420" w:firstLineChars="200"/>
    </w:pPr>
  </w:style>
  <w:style w:type="paragraph" w:styleId="26">
    <w:name w:val="List Paragraph"/>
    <w:basedOn w:val="1"/>
    <w:qFormat/>
    <w:uiPriority w:val="34"/>
    <w:pPr>
      <w:ind w:firstLine="420" w:firstLineChars="200"/>
    </w:pPr>
  </w:style>
  <w:style w:type="paragraph" w:customStyle="1" w:styleId="27">
    <w:name w:val="方案正文"/>
    <w:basedOn w:val="1"/>
    <w:qFormat/>
    <w:uiPriority w:val="0"/>
    <w:pPr>
      <w:spacing w:before="120" w:line="360" w:lineRule="auto"/>
      <w:ind w:firstLine="425" w:firstLineChars="177"/>
    </w:pPr>
    <w:rPr>
      <w:rFonts w:ascii="华文细黑" w:hAnsi="华文细黑" w:eastAsia="华文细黑"/>
      <w:sz w:val="24"/>
      <w:szCs w:val="24"/>
    </w:rPr>
  </w:style>
  <w:style w:type="paragraph" w:styleId="28">
    <w:name w:val="No Spacing"/>
    <w:qFormat/>
    <w:uiPriority w:val="1"/>
    <w:pPr>
      <w:widowControl w:val="0"/>
      <w:snapToGrid w:val="0"/>
    </w:pPr>
    <w:rPr>
      <w:rFonts w:ascii="Calibri" w:hAnsi="Calibri" w:eastAsia="微软雅黑" w:cs="Times New Roman"/>
      <w:kern w:val="2"/>
      <w:sz w:val="24"/>
      <w:szCs w:val="21"/>
      <w:lang w:val="en-US" w:eastAsia="zh-CN" w:bidi="ar-SA"/>
    </w:rPr>
  </w:style>
  <w:style w:type="paragraph" w:customStyle="1" w:styleId="29">
    <w:name w:val="列表段落1"/>
    <w:basedOn w:val="1"/>
    <w:qFormat/>
    <w:uiPriority w:val="34"/>
    <w:pPr>
      <w:ind w:firstLine="420" w:firstLineChars="200"/>
    </w:pPr>
    <w:rPr>
      <w:szCs w:val="24"/>
    </w:rPr>
  </w:style>
  <w:style w:type="character" w:customStyle="1" w:styleId="30">
    <w:name w:val="批注框文本 字符"/>
    <w:basedOn w:val="17"/>
    <w:link w:val="9"/>
    <w:semiHidden/>
    <w:qFormat/>
    <w:uiPriority w:val="99"/>
    <w:rPr>
      <w:rFonts w:ascii="Calibri" w:hAnsi="Calibri" w:eastAsia="宋体" w:cs="Times New Roman"/>
      <w:kern w:val="2"/>
      <w:sz w:val="18"/>
      <w:szCs w:val="18"/>
    </w:rPr>
  </w:style>
  <w:style w:type="paragraph" w:customStyle="1" w:styleId="31">
    <w:name w:val="本文正文2"/>
    <w:basedOn w:val="1"/>
    <w:qFormat/>
    <w:uiPriority w:val="0"/>
    <w:pPr>
      <w:tabs>
        <w:tab w:val="left" w:pos="630"/>
      </w:tabs>
      <w:topLinePunct/>
      <w:adjustRightInd w:val="0"/>
      <w:spacing w:line="360" w:lineRule="exact"/>
      <w:ind w:firstLine="420" w:firstLineChars="200"/>
    </w:pPr>
    <w:rPr>
      <w:rFonts w:ascii="Times New Roman" w:hAnsi="Times New Roman"/>
      <w:snapToGrid w:val="0"/>
      <w:color w:val="000000"/>
      <w:kern w:val="0"/>
      <w:sz w:val="24"/>
      <w:szCs w:val="20"/>
    </w:rPr>
  </w:style>
  <w:style w:type="paragraph" w:customStyle="1" w:styleId="32">
    <w:name w:val="普通正文"/>
    <w:basedOn w:val="3"/>
    <w:qFormat/>
    <w:uiPriority w:val="0"/>
    <w:pPr>
      <w:adjustRightInd w:val="0"/>
      <w:spacing w:before="100" w:line="312" w:lineRule="atLeast"/>
      <w:ind w:firstLine="500"/>
      <w:textAlignment w:val="baseline"/>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3362</Words>
  <Characters>3464</Characters>
  <Lines>25</Lines>
  <Paragraphs>7</Paragraphs>
  <TotalTime>50</TotalTime>
  <ScaleCrop>false</ScaleCrop>
  <LinksUpToDate>false</LinksUpToDate>
  <CharactersWithSpaces>3497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2022-05-19T06:39:00Z</dcterms:created>
  <dc:creator>office51</dc:creator>
  <cp:lastModifiedBy>小暖</cp:lastModifiedBy>
  <cp:lastPrinted>2022-06-25T02:25:00Z</cp:lastPrinted>
  <dcterms:modified xsi:type="dcterms:W3CDTF">2022-09-02T07:55:16Z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3DAD3A8C81A94DF3866B6E0DF361C477</vt:lpwstr>
  </property>
</Properties>
</file>