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367" w:leftChars="183" w:hanging="1928" w:hangingChars="600"/>
        <w:jc w:val="center"/>
        <w:rPr>
          <w:rFonts w:ascii="宋体" w:hAnsi="宋体" w:cs="宋体"/>
          <w:b/>
          <w:bCs/>
          <w:color w:val="auto"/>
          <w:sz w:val="32"/>
          <w:szCs w:val="32"/>
        </w:rPr>
      </w:pPr>
      <w:r>
        <w:rPr>
          <w:rFonts w:hint="eastAsia" w:ascii="宋体" w:hAnsi="宋体" w:cs="宋体"/>
          <w:b/>
          <w:bCs/>
          <w:color w:val="auto"/>
          <w:sz w:val="32"/>
          <w:szCs w:val="32"/>
        </w:rPr>
        <w:t>南京市江宁医院DRG智能管理系统（含病案上传接口）</w:t>
      </w:r>
    </w:p>
    <w:p>
      <w:pPr>
        <w:ind w:left="2367" w:leftChars="183" w:hanging="1928" w:hangingChars="600"/>
        <w:jc w:val="center"/>
        <w:rPr>
          <w:rFonts w:ascii="宋体" w:hAnsi="宋体" w:cs="宋体"/>
          <w:b/>
          <w:bCs/>
          <w:color w:val="auto"/>
          <w:kern w:val="0"/>
          <w:sz w:val="32"/>
          <w:szCs w:val="32"/>
        </w:rPr>
      </w:pPr>
      <w:r>
        <w:rPr>
          <w:rFonts w:hint="eastAsia" w:ascii="宋体" w:hAnsi="宋体" w:cs="宋体"/>
          <w:b/>
          <w:bCs/>
          <w:color w:val="auto"/>
          <w:sz w:val="32"/>
          <w:szCs w:val="32"/>
        </w:rPr>
        <w:t>采购</w:t>
      </w:r>
      <w:r>
        <w:rPr>
          <w:rFonts w:hint="eastAsia" w:ascii="宋体" w:hAnsi="宋体" w:cs="宋体"/>
          <w:b/>
          <w:bCs/>
          <w:color w:val="auto"/>
          <w:kern w:val="0"/>
          <w:sz w:val="32"/>
          <w:szCs w:val="32"/>
        </w:rPr>
        <w:t>项目</w:t>
      </w:r>
    </w:p>
    <w:p>
      <w:pPr>
        <w:pStyle w:val="2"/>
        <w:rPr>
          <w:rFonts w:ascii="宋体" w:hAnsi="宋体" w:eastAsia="宋体"/>
          <w:color w:val="auto"/>
          <w:sz w:val="28"/>
          <w:szCs w:val="28"/>
        </w:rPr>
      </w:pPr>
      <w:r>
        <w:rPr>
          <w:rFonts w:hint="eastAsia" w:ascii="宋体" w:hAnsi="宋体" w:eastAsia="宋体"/>
          <w:b/>
          <w:color w:val="auto"/>
          <w:sz w:val="28"/>
          <w:szCs w:val="28"/>
        </w:rPr>
        <w:t>供应商报名资格要求</w:t>
      </w:r>
    </w:p>
    <w:p>
      <w:pPr>
        <w:ind w:firstLine="562"/>
        <w:rPr>
          <w:rFonts w:ascii="宋体" w:hAnsi="宋体" w:cs="宋体"/>
          <w:b/>
          <w:bCs/>
          <w:color w:val="auto"/>
          <w:sz w:val="28"/>
          <w:szCs w:val="28"/>
        </w:rPr>
      </w:pPr>
      <w:r>
        <w:rPr>
          <w:rFonts w:hint="eastAsia" w:ascii="宋体" w:hAnsi="宋体" w:cs="宋体"/>
          <w:b/>
          <w:bCs/>
          <w:color w:val="auto"/>
          <w:sz w:val="28"/>
          <w:szCs w:val="28"/>
        </w:rPr>
        <w:t>各供应商在报名时须可提供法人、企业、产品与经营信息等证明文件并加盖公章；</w:t>
      </w:r>
    </w:p>
    <w:p>
      <w:pPr>
        <w:ind w:firstLine="560"/>
        <w:rPr>
          <w:rFonts w:ascii="宋体" w:hAnsi="宋体" w:cs="宋体"/>
          <w:color w:val="auto"/>
          <w:sz w:val="28"/>
          <w:szCs w:val="28"/>
        </w:rPr>
      </w:pPr>
      <w:r>
        <w:rPr>
          <w:rFonts w:hint="eastAsia" w:ascii="宋体" w:hAnsi="宋体" w:cs="宋体"/>
          <w:color w:val="auto"/>
          <w:sz w:val="28"/>
          <w:szCs w:val="28"/>
        </w:rPr>
        <w:t>1）具有独立承担民事责任的能力的证明材料，出具符合以下情况的证明材料复印件（五选一）：</w:t>
      </w:r>
    </w:p>
    <w:p>
      <w:pPr>
        <w:ind w:firstLine="560"/>
        <w:rPr>
          <w:rFonts w:ascii="宋体" w:hAnsi="宋体" w:cs="宋体"/>
          <w:color w:val="auto"/>
          <w:sz w:val="28"/>
          <w:szCs w:val="28"/>
        </w:rPr>
      </w:pPr>
      <w:r>
        <w:rPr>
          <w:rFonts w:hint="eastAsia" w:ascii="宋体" w:hAnsi="宋体" w:cs="宋体"/>
          <w:color w:val="auto"/>
          <w:sz w:val="28"/>
          <w:szCs w:val="28"/>
        </w:rPr>
        <w:t>A.如供应商是企业（包括合伙企业），可提供在工商部门注册的有效“企业法人营业执照”或“营业执照”；</w:t>
      </w:r>
    </w:p>
    <w:p>
      <w:pPr>
        <w:ind w:firstLine="560"/>
        <w:rPr>
          <w:rFonts w:ascii="宋体" w:hAnsi="宋体" w:cs="宋体"/>
          <w:color w:val="auto"/>
          <w:sz w:val="28"/>
          <w:szCs w:val="28"/>
        </w:rPr>
      </w:pPr>
      <w:r>
        <w:rPr>
          <w:rFonts w:hint="eastAsia" w:ascii="宋体" w:hAnsi="宋体" w:cs="宋体"/>
          <w:color w:val="auto"/>
          <w:sz w:val="28"/>
          <w:szCs w:val="28"/>
        </w:rPr>
        <w:t>B.如供应商是事业单位，可提供有效的“事业单位法人证书”；</w:t>
      </w:r>
    </w:p>
    <w:p>
      <w:pPr>
        <w:ind w:firstLine="560"/>
        <w:rPr>
          <w:rFonts w:ascii="宋体" w:hAnsi="宋体" w:cs="宋体"/>
          <w:color w:val="auto"/>
          <w:sz w:val="28"/>
          <w:szCs w:val="28"/>
        </w:rPr>
      </w:pPr>
      <w:r>
        <w:rPr>
          <w:rFonts w:hint="eastAsia" w:ascii="宋体" w:hAnsi="宋体" w:cs="宋体"/>
          <w:color w:val="auto"/>
          <w:sz w:val="28"/>
          <w:szCs w:val="28"/>
        </w:rPr>
        <w:t>C.如供应商是非企业专业服务机构的，可提供执业许可证等证明文件；</w:t>
      </w:r>
    </w:p>
    <w:p>
      <w:pPr>
        <w:ind w:firstLine="560"/>
        <w:rPr>
          <w:rFonts w:ascii="宋体" w:hAnsi="宋体" w:cs="宋体"/>
          <w:color w:val="auto"/>
          <w:sz w:val="28"/>
          <w:szCs w:val="28"/>
        </w:rPr>
      </w:pPr>
      <w:r>
        <w:rPr>
          <w:rFonts w:hint="eastAsia" w:ascii="宋体" w:hAnsi="宋体" w:cs="宋体"/>
          <w:color w:val="auto"/>
          <w:sz w:val="28"/>
          <w:szCs w:val="28"/>
        </w:rPr>
        <w:t>D.如供应商是个体工商户，可提供有效的“个体工商户营业执照”；</w:t>
      </w:r>
    </w:p>
    <w:p>
      <w:pPr>
        <w:ind w:firstLine="560"/>
        <w:rPr>
          <w:rFonts w:ascii="宋体" w:hAnsi="宋体" w:cs="宋体"/>
          <w:color w:val="auto"/>
          <w:sz w:val="28"/>
          <w:szCs w:val="28"/>
        </w:rPr>
      </w:pPr>
      <w:r>
        <w:rPr>
          <w:rFonts w:hint="eastAsia" w:ascii="宋体" w:hAnsi="宋体" w:cs="宋体"/>
          <w:color w:val="auto"/>
          <w:sz w:val="28"/>
          <w:szCs w:val="28"/>
        </w:rPr>
        <w:t>E.如供应商是自然人，可提供有效的自然人身份证明（居民身份证正反面或公安机关出具的临时居民身份证正反面或港澳台胞证或护照）。</w:t>
      </w:r>
    </w:p>
    <w:p>
      <w:pPr>
        <w:ind w:firstLine="560"/>
        <w:rPr>
          <w:rFonts w:ascii="宋体" w:hAnsi="宋体" w:cs="宋体"/>
          <w:color w:val="auto"/>
          <w:sz w:val="28"/>
          <w:szCs w:val="28"/>
        </w:rPr>
      </w:pPr>
      <w:r>
        <w:rPr>
          <w:rFonts w:hint="eastAsia" w:ascii="宋体" w:hAnsi="宋体" w:cs="宋体"/>
          <w:color w:val="auto"/>
          <w:sz w:val="28"/>
          <w:szCs w:val="28"/>
        </w:rPr>
        <w:t>2）法定代表人资格证明书；</w:t>
      </w:r>
    </w:p>
    <w:p>
      <w:pPr>
        <w:ind w:firstLine="560"/>
        <w:rPr>
          <w:rFonts w:ascii="宋体" w:hAnsi="宋体" w:cs="宋体"/>
          <w:color w:val="auto"/>
          <w:sz w:val="28"/>
          <w:szCs w:val="28"/>
        </w:rPr>
      </w:pPr>
      <w:r>
        <w:rPr>
          <w:rFonts w:hint="eastAsia" w:ascii="宋体" w:hAnsi="宋体" w:cs="宋体"/>
          <w:color w:val="auto"/>
          <w:sz w:val="28"/>
          <w:szCs w:val="28"/>
        </w:rPr>
        <w:t>3）法定代表人授权委托书（法定代表人签署不需提供此书）；法定代表人及授权代表身份证正反面复印件；</w:t>
      </w:r>
    </w:p>
    <w:p>
      <w:pPr>
        <w:ind w:firstLine="560"/>
        <w:rPr>
          <w:rFonts w:ascii="宋体" w:hAnsi="宋体" w:cs="宋体"/>
          <w:color w:val="auto"/>
          <w:sz w:val="28"/>
          <w:szCs w:val="28"/>
        </w:rPr>
      </w:pPr>
      <w:r>
        <w:rPr>
          <w:rFonts w:hint="eastAsia" w:ascii="宋体" w:hAnsi="宋体" w:cs="宋体"/>
          <w:color w:val="auto"/>
          <w:sz w:val="28"/>
          <w:szCs w:val="28"/>
        </w:rPr>
        <w:t>4）社保机构出具授权代表的投标截止日前6个月内授权代表的投标单位社保缴纳证明，任职不足6个月的可提供劳动合同证明文件；</w:t>
      </w:r>
    </w:p>
    <w:p>
      <w:pPr>
        <w:ind w:firstLine="560"/>
        <w:rPr>
          <w:rFonts w:ascii="宋体" w:hAnsi="宋体" w:cs="宋体"/>
          <w:color w:val="auto"/>
          <w:sz w:val="28"/>
          <w:szCs w:val="28"/>
        </w:rPr>
      </w:pPr>
      <w:r>
        <w:rPr>
          <w:rFonts w:hint="eastAsia" w:ascii="宋体" w:hAnsi="宋体" w:cs="宋体"/>
          <w:color w:val="auto"/>
          <w:sz w:val="28"/>
          <w:szCs w:val="28"/>
        </w:rPr>
        <w:t>5）近三年任意年度单位财务审计报告。</w:t>
      </w:r>
    </w:p>
    <w:p>
      <w:pPr>
        <w:pStyle w:val="18"/>
        <w:ind w:left="1040" w:hanging="560"/>
        <w:rPr>
          <w:rFonts w:ascii="宋体" w:hAnsi="宋体"/>
          <w:color w:val="auto"/>
          <w:sz w:val="28"/>
          <w:szCs w:val="28"/>
        </w:rPr>
      </w:pPr>
    </w:p>
    <w:p>
      <w:pPr>
        <w:ind w:firstLine="560"/>
        <w:rPr>
          <w:rFonts w:ascii="宋体" w:hAnsi="宋体" w:cs="宋体"/>
          <w:color w:val="auto"/>
          <w:sz w:val="28"/>
          <w:szCs w:val="28"/>
        </w:rPr>
      </w:pPr>
      <w:r>
        <w:rPr>
          <w:rFonts w:hint="eastAsia" w:ascii="宋体" w:hAnsi="宋体" w:cs="宋体"/>
          <w:color w:val="auto"/>
          <w:sz w:val="28"/>
          <w:szCs w:val="28"/>
        </w:rPr>
        <w:t>投标商在谈判前密封并提交以下文件：</w:t>
      </w:r>
    </w:p>
    <w:p>
      <w:pPr>
        <w:ind w:firstLine="560"/>
        <w:rPr>
          <w:rFonts w:ascii="宋体" w:hAnsi="宋体" w:cs="宋体"/>
          <w:color w:val="auto"/>
          <w:sz w:val="28"/>
          <w:szCs w:val="28"/>
        </w:rPr>
      </w:pPr>
      <w:r>
        <w:rPr>
          <w:rFonts w:hint="eastAsia" w:ascii="宋体" w:hAnsi="宋体" w:cs="宋体"/>
          <w:color w:val="auto"/>
          <w:sz w:val="28"/>
          <w:szCs w:val="28"/>
        </w:rPr>
        <w:t>1）投标报价书一份加盖公司印章，单独密封；</w:t>
      </w:r>
    </w:p>
    <w:p>
      <w:pPr>
        <w:ind w:firstLine="560"/>
        <w:rPr>
          <w:rFonts w:ascii="宋体" w:hAnsi="宋体" w:cs="宋体"/>
          <w:color w:val="auto"/>
          <w:sz w:val="28"/>
          <w:szCs w:val="28"/>
        </w:rPr>
      </w:pPr>
      <w:r>
        <w:rPr>
          <w:rFonts w:hint="eastAsia" w:ascii="宋体" w:hAnsi="宋体" w:cs="宋体"/>
          <w:color w:val="auto"/>
          <w:sz w:val="28"/>
          <w:szCs w:val="28"/>
        </w:rPr>
        <w:t>2）投标文件一正三副本；</w:t>
      </w:r>
    </w:p>
    <w:p>
      <w:pPr>
        <w:ind w:firstLine="560"/>
        <w:rPr>
          <w:rFonts w:ascii="宋体" w:hAnsi="宋体" w:cs="宋体"/>
          <w:color w:val="auto"/>
          <w:sz w:val="28"/>
          <w:szCs w:val="28"/>
        </w:rPr>
      </w:pPr>
      <w:r>
        <w:rPr>
          <w:rFonts w:hint="eastAsia" w:ascii="宋体" w:hAnsi="宋体" w:cs="宋体"/>
          <w:color w:val="auto"/>
          <w:sz w:val="28"/>
          <w:szCs w:val="28"/>
        </w:rPr>
        <w:t>3）投标文件应附相关质量及服务承诺。</w:t>
      </w:r>
    </w:p>
    <w:p>
      <w:pPr>
        <w:ind w:firstLine="560"/>
        <w:rPr>
          <w:rFonts w:ascii="宋体" w:hAnsi="宋体" w:cs="宋体"/>
          <w:color w:val="auto"/>
          <w:sz w:val="28"/>
          <w:szCs w:val="28"/>
        </w:rPr>
      </w:pPr>
    </w:p>
    <w:p>
      <w:pPr>
        <w:ind w:firstLine="560"/>
        <w:rPr>
          <w:rFonts w:ascii="宋体" w:hAnsi="宋体" w:cs="宋体"/>
          <w:color w:val="auto"/>
          <w:sz w:val="28"/>
          <w:szCs w:val="28"/>
        </w:rPr>
      </w:pPr>
      <w:r>
        <w:rPr>
          <w:rFonts w:hint="eastAsia" w:ascii="宋体" w:hAnsi="宋体" w:cs="宋体"/>
          <w:color w:val="auto"/>
          <w:sz w:val="28"/>
          <w:szCs w:val="28"/>
        </w:rPr>
        <w:t>询价地点及时间：</w:t>
      </w:r>
    </w:p>
    <w:p>
      <w:pPr>
        <w:ind w:firstLine="560"/>
        <w:rPr>
          <w:rFonts w:ascii="宋体" w:hAnsi="宋体" w:cs="宋体"/>
          <w:color w:val="auto"/>
          <w:sz w:val="28"/>
          <w:szCs w:val="28"/>
        </w:rPr>
      </w:pPr>
      <w:r>
        <w:rPr>
          <w:rFonts w:hint="eastAsia" w:ascii="宋体" w:hAnsi="宋体" w:cs="宋体"/>
          <w:color w:val="auto"/>
          <w:sz w:val="28"/>
          <w:szCs w:val="28"/>
        </w:rPr>
        <w:t>地点：南京市江宁医院湖山路院区3号楼7楼（江宁区湖山路169号）</w:t>
      </w:r>
    </w:p>
    <w:p>
      <w:pPr>
        <w:ind w:firstLine="560"/>
        <w:rPr>
          <w:rFonts w:ascii="宋体" w:hAnsi="宋体" w:cs="宋体"/>
          <w:color w:val="auto"/>
          <w:sz w:val="28"/>
          <w:szCs w:val="28"/>
        </w:rPr>
      </w:pPr>
      <w:r>
        <w:rPr>
          <w:rFonts w:hint="eastAsia" w:ascii="宋体" w:hAnsi="宋体" w:cs="宋体"/>
          <w:color w:val="auto"/>
          <w:sz w:val="28"/>
          <w:szCs w:val="28"/>
        </w:rPr>
        <w:t>时间：202</w:t>
      </w:r>
      <w:r>
        <w:rPr>
          <w:rFonts w:ascii="宋体" w:hAnsi="宋体" w:cs="宋体"/>
          <w:color w:val="auto"/>
          <w:sz w:val="28"/>
          <w:szCs w:val="28"/>
        </w:rPr>
        <w:t>2</w:t>
      </w:r>
      <w:r>
        <w:rPr>
          <w:rFonts w:hint="eastAsia" w:ascii="宋体" w:hAnsi="宋体" w:cs="宋体"/>
          <w:color w:val="auto"/>
          <w:sz w:val="28"/>
          <w:szCs w:val="28"/>
        </w:rPr>
        <w:t xml:space="preserve">年 </w:t>
      </w:r>
      <w:r>
        <w:rPr>
          <w:rFonts w:hint="eastAsia" w:ascii="宋体" w:hAnsi="宋体" w:cs="宋体"/>
          <w:color w:val="auto"/>
          <w:sz w:val="28"/>
          <w:szCs w:val="28"/>
          <w:lang w:val="en-US" w:eastAsia="zh-CN"/>
        </w:rPr>
        <w:t>2</w:t>
      </w:r>
      <w:r>
        <w:rPr>
          <w:rFonts w:hint="eastAsia" w:ascii="宋体" w:hAnsi="宋体" w:cs="宋体"/>
          <w:color w:val="auto"/>
          <w:sz w:val="28"/>
          <w:szCs w:val="28"/>
        </w:rPr>
        <w:t xml:space="preserve">月 </w:t>
      </w:r>
      <w:r>
        <w:rPr>
          <w:rFonts w:hint="eastAsia" w:ascii="宋体" w:hAnsi="宋体" w:cs="宋体"/>
          <w:color w:val="auto"/>
          <w:sz w:val="28"/>
          <w:szCs w:val="28"/>
          <w:lang w:val="en-US" w:eastAsia="zh-CN"/>
        </w:rPr>
        <w:t>25</w:t>
      </w:r>
      <w:bookmarkStart w:id="5" w:name="_GoBack"/>
      <w:bookmarkEnd w:id="5"/>
      <w:r>
        <w:rPr>
          <w:rFonts w:ascii="宋体" w:hAnsi="宋体" w:cs="宋体"/>
          <w:color w:val="auto"/>
          <w:sz w:val="28"/>
          <w:szCs w:val="28"/>
        </w:rPr>
        <w:t xml:space="preserve"> </w:t>
      </w:r>
      <w:r>
        <w:rPr>
          <w:rFonts w:hint="eastAsia" w:ascii="宋体" w:hAnsi="宋体" w:cs="宋体"/>
          <w:color w:val="auto"/>
          <w:sz w:val="28"/>
          <w:szCs w:val="28"/>
        </w:rPr>
        <w:t xml:space="preserve">号  </w:t>
      </w:r>
      <w:r>
        <w:rPr>
          <w:rFonts w:ascii="宋体" w:hAnsi="宋体" w:cs="宋体"/>
          <w:color w:val="auto"/>
          <w:sz w:val="28"/>
          <w:szCs w:val="28"/>
        </w:rPr>
        <w:t xml:space="preserve"> </w:t>
      </w:r>
    </w:p>
    <w:p>
      <w:pPr>
        <w:ind w:firstLine="560"/>
        <w:rPr>
          <w:rFonts w:ascii="宋体" w:hAnsi="宋体" w:cs="宋体"/>
          <w:color w:val="auto"/>
          <w:sz w:val="28"/>
          <w:szCs w:val="28"/>
        </w:rPr>
      </w:pPr>
    </w:p>
    <w:p>
      <w:pPr>
        <w:ind w:firstLine="560"/>
        <w:rPr>
          <w:rFonts w:ascii="宋体" w:hAnsi="宋体" w:cs="宋体"/>
          <w:color w:val="auto"/>
          <w:sz w:val="28"/>
          <w:szCs w:val="28"/>
        </w:rPr>
      </w:pPr>
      <w:r>
        <w:rPr>
          <w:rFonts w:hint="eastAsia" w:ascii="宋体" w:hAnsi="宋体" w:cs="宋体"/>
          <w:color w:val="auto"/>
          <w:sz w:val="28"/>
          <w:szCs w:val="28"/>
        </w:rPr>
        <w:t>通讯联络事宜：</w:t>
      </w:r>
    </w:p>
    <w:p>
      <w:pPr>
        <w:ind w:firstLine="560"/>
        <w:rPr>
          <w:rFonts w:ascii="宋体" w:hAnsi="宋体" w:cs="宋体"/>
          <w:color w:val="auto"/>
          <w:sz w:val="28"/>
          <w:szCs w:val="28"/>
        </w:rPr>
      </w:pPr>
      <w:r>
        <w:rPr>
          <w:rFonts w:hint="eastAsia" w:ascii="宋体" w:hAnsi="宋体" w:cs="宋体"/>
          <w:color w:val="auto"/>
          <w:sz w:val="28"/>
          <w:szCs w:val="28"/>
        </w:rPr>
        <w:t xml:space="preserve">联系人：熊老师 </w:t>
      </w:r>
    </w:p>
    <w:p>
      <w:pPr>
        <w:ind w:firstLine="560"/>
        <w:rPr>
          <w:rFonts w:ascii="宋体" w:hAnsi="宋体" w:cs="宋体"/>
          <w:color w:val="auto"/>
          <w:sz w:val="28"/>
          <w:szCs w:val="28"/>
        </w:rPr>
      </w:pPr>
      <w:r>
        <w:rPr>
          <w:rFonts w:hint="eastAsia" w:ascii="宋体" w:hAnsi="宋体" w:cs="宋体"/>
          <w:color w:val="auto"/>
          <w:sz w:val="28"/>
          <w:szCs w:val="28"/>
        </w:rPr>
        <w:t>电  话 ：13645153881</w:t>
      </w:r>
    </w:p>
    <w:p>
      <w:pPr>
        <w:ind w:firstLine="480"/>
        <w:rPr>
          <w:rFonts w:ascii="宋体" w:hAnsi="宋体" w:cs="宋体"/>
          <w:color w:val="auto"/>
          <w:sz w:val="28"/>
          <w:szCs w:val="28"/>
        </w:rPr>
      </w:pPr>
    </w:p>
    <w:p>
      <w:pPr>
        <w:ind w:firstLine="602"/>
        <w:jc w:val="center"/>
        <w:rPr>
          <w:rFonts w:ascii="宋体" w:hAnsi="宋体" w:cs="宋体"/>
          <w:b/>
          <w:bCs/>
          <w:color w:val="auto"/>
          <w:sz w:val="28"/>
          <w:szCs w:val="28"/>
        </w:rPr>
      </w:pPr>
    </w:p>
    <w:p>
      <w:pPr>
        <w:ind w:firstLine="602"/>
        <w:jc w:val="center"/>
        <w:rPr>
          <w:rFonts w:ascii="宋体" w:hAnsi="宋体" w:cs="宋体"/>
          <w:b/>
          <w:bCs/>
          <w:color w:val="auto"/>
          <w:sz w:val="28"/>
          <w:szCs w:val="28"/>
        </w:rPr>
      </w:pPr>
    </w:p>
    <w:p>
      <w:pPr>
        <w:ind w:firstLine="602"/>
        <w:rPr>
          <w:rFonts w:ascii="宋体" w:hAnsi="宋体" w:cs="宋体"/>
          <w:b/>
          <w:bCs/>
          <w:color w:val="auto"/>
          <w:sz w:val="28"/>
          <w:szCs w:val="28"/>
        </w:rPr>
      </w:pPr>
    </w:p>
    <w:p>
      <w:pPr>
        <w:pStyle w:val="2"/>
        <w:jc w:val="center"/>
        <w:rPr>
          <w:rFonts w:ascii="宋体" w:hAnsi="宋体" w:eastAsia="宋体"/>
          <w:b/>
          <w:color w:val="auto"/>
          <w:sz w:val="28"/>
          <w:szCs w:val="28"/>
        </w:rPr>
      </w:pPr>
      <w:r>
        <w:rPr>
          <w:rFonts w:hint="eastAsia" w:ascii="宋体" w:hAnsi="宋体" w:eastAsia="宋体"/>
          <w:b/>
          <w:color w:val="auto"/>
          <w:sz w:val="28"/>
          <w:szCs w:val="28"/>
        </w:rPr>
        <w:t>采购需求</w:t>
      </w:r>
    </w:p>
    <w:p>
      <w:pPr>
        <w:pStyle w:val="4"/>
        <w:rPr>
          <w:rFonts w:ascii="宋体" w:hAnsi="宋体" w:eastAsia="宋体"/>
          <w:b w:val="0"/>
          <w:color w:val="auto"/>
          <w:sz w:val="28"/>
          <w:szCs w:val="28"/>
        </w:rPr>
      </w:pPr>
      <w:r>
        <w:rPr>
          <w:rFonts w:hint="eastAsia" w:ascii="宋体" w:hAnsi="宋体" w:eastAsia="宋体"/>
          <w:b w:val="0"/>
          <w:color w:val="auto"/>
          <w:sz w:val="28"/>
          <w:szCs w:val="28"/>
        </w:rPr>
        <w:t>项目综述</w:t>
      </w:r>
    </w:p>
    <w:p>
      <w:pPr>
        <w:ind w:firstLine="560"/>
        <w:rPr>
          <w:rFonts w:ascii="宋体" w:hAnsi="宋体" w:cs="宋体"/>
          <w:color w:val="auto"/>
          <w:sz w:val="28"/>
          <w:szCs w:val="28"/>
        </w:rPr>
      </w:pPr>
      <w:r>
        <w:rPr>
          <w:rFonts w:hint="eastAsia" w:ascii="宋体" w:hAnsi="宋体" w:cs="宋体"/>
          <w:color w:val="auto"/>
          <w:sz w:val="28"/>
          <w:szCs w:val="28"/>
        </w:rPr>
        <w:t>项目名称：南京江宁医院DRG智能管理系统（含病案上传接口）采购项目</w:t>
      </w:r>
    </w:p>
    <w:p>
      <w:pPr>
        <w:pStyle w:val="4"/>
        <w:rPr>
          <w:rFonts w:ascii="宋体" w:hAnsi="宋体" w:eastAsia="宋体"/>
          <w:b w:val="0"/>
          <w:color w:val="auto"/>
          <w:sz w:val="28"/>
          <w:szCs w:val="28"/>
        </w:rPr>
      </w:pPr>
      <w:bookmarkStart w:id="0" w:name="_Toc41316315"/>
      <w:r>
        <w:rPr>
          <w:rFonts w:ascii="宋体" w:hAnsi="宋体" w:eastAsia="宋体"/>
          <w:b w:val="0"/>
          <w:color w:val="auto"/>
          <w:sz w:val="28"/>
          <w:szCs w:val="28"/>
        </w:rPr>
        <w:t>项目背景及必要性</w:t>
      </w:r>
      <w:bookmarkEnd w:id="0"/>
    </w:p>
    <w:p>
      <w:pPr>
        <w:ind w:firstLine="560"/>
        <w:rPr>
          <w:rFonts w:ascii="宋体" w:hAnsi="宋体" w:cs="宋体"/>
          <w:color w:val="auto"/>
          <w:sz w:val="28"/>
          <w:szCs w:val="28"/>
        </w:rPr>
      </w:pPr>
      <w:bookmarkStart w:id="1" w:name="_Toc41316316"/>
      <w:r>
        <w:rPr>
          <w:rFonts w:hint="eastAsia" w:ascii="宋体" w:hAnsi="宋体" w:cs="宋体"/>
          <w:color w:val="auto"/>
          <w:sz w:val="28"/>
          <w:szCs w:val="28"/>
        </w:rPr>
        <w:t>南京市医疗保障局已从2</w:t>
      </w:r>
      <w:r>
        <w:rPr>
          <w:rFonts w:ascii="宋体" w:hAnsi="宋体" w:cs="宋体"/>
          <w:color w:val="auto"/>
          <w:sz w:val="28"/>
          <w:szCs w:val="28"/>
        </w:rPr>
        <w:t>022</w:t>
      </w:r>
      <w:r>
        <w:rPr>
          <w:rFonts w:hint="eastAsia" w:ascii="宋体" w:hAnsi="宋体" w:cs="宋体"/>
          <w:color w:val="auto"/>
          <w:sz w:val="28"/>
          <w:szCs w:val="28"/>
        </w:rPr>
        <w:t>年1月1日起对于医保基金住院部分按照D</w:t>
      </w:r>
      <w:r>
        <w:rPr>
          <w:rFonts w:ascii="宋体" w:hAnsi="宋体" w:cs="宋体"/>
          <w:color w:val="auto"/>
          <w:sz w:val="28"/>
          <w:szCs w:val="28"/>
        </w:rPr>
        <w:t>RG</w:t>
      </w:r>
      <w:r>
        <w:rPr>
          <w:rFonts w:hint="eastAsia" w:ascii="宋体" w:hAnsi="宋体" w:cs="宋体"/>
          <w:color w:val="auto"/>
          <w:sz w:val="28"/>
          <w:szCs w:val="28"/>
        </w:rPr>
        <w:t>对医院进行结算，建设医院医保DRG管理系统软件有利于帮助医院构建一体化、全方位的医疗质量与运用管控体系，可根据国家和江苏省的医保支付方式改革，及南京市卫生信息化建设相关的政策和文件精神要求，在保障医疗质量有效控制的基础上，通过信息化的服务手段防范医保拒付或高于支付标准所造成医院无效成本增加的风险，有利于推动医院实施精益化成本核算与成本优化的管理体系，从而减少无效的医疗费用支出，通过精细化运用管理带动效益提升与服务能力升级，进而实现院内信息系统完善、病案质量达标、诊疗流程规范、管理队伍精干、协作机制健全，确保医院在DRG支付方式下，实现医保费用结算水平良好，医院整体经济运营平稳。</w:t>
      </w:r>
    </w:p>
    <w:p>
      <w:pPr>
        <w:pStyle w:val="4"/>
        <w:rPr>
          <w:rFonts w:ascii="宋体" w:hAnsi="宋体" w:eastAsia="宋体"/>
          <w:b w:val="0"/>
          <w:color w:val="auto"/>
          <w:sz w:val="28"/>
          <w:szCs w:val="28"/>
        </w:rPr>
      </w:pPr>
      <w:r>
        <w:rPr>
          <w:rFonts w:ascii="宋体" w:hAnsi="宋体" w:eastAsia="宋体"/>
          <w:b w:val="0"/>
          <w:color w:val="auto"/>
          <w:sz w:val="28"/>
          <w:szCs w:val="28"/>
        </w:rPr>
        <w:t>项目立项依据</w:t>
      </w:r>
      <w:bookmarkEnd w:id="1"/>
    </w:p>
    <w:p>
      <w:pPr>
        <w:ind w:firstLine="560"/>
        <w:rPr>
          <w:rFonts w:ascii="宋体" w:hAnsi="宋体" w:cs="宋体"/>
          <w:color w:val="auto"/>
          <w:sz w:val="28"/>
          <w:szCs w:val="28"/>
        </w:rPr>
      </w:pPr>
      <w:r>
        <w:rPr>
          <w:rFonts w:hint="eastAsia" w:ascii="宋体" w:hAnsi="宋体" w:cs="宋体"/>
          <w:color w:val="auto"/>
          <w:sz w:val="28"/>
          <w:szCs w:val="28"/>
        </w:rPr>
        <w:t>《省政府办公厅关于进一步深化基本医疗保险支付方式改革的实施意见》中明确指出：根据疾病病情严重程度、治疗方法复杂程度和实际资源消耗水平等进行病种分组，并结合实际确定和调整完善各组之间的相对比价关系。可以疾病诊断相关分组技术为支撑进行医疗机构诊疗成本与疗效测量评价，加强不同医疗机构同一病种组间的横向比较，利用评价结果完善医保付费机制，促进医疗机构提升绩效、控制费用。加快提升医保精细化管理水平，逐步将疾病诊断相关分组用于实际付费并扩大应用范围。疾病诊断相关分组付费标准包括医保基金和个人付费在内的全部医疗费用。</w:t>
      </w:r>
    </w:p>
    <w:p>
      <w:pPr>
        <w:ind w:firstLine="560"/>
        <w:rPr>
          <w:rFonts w:ascii="宋体" w:hAnsi="宋体" w:cs="宋体"/>
          <w:color w:val="auto"/>
          <w:sz w:val="28"/>
          <w:szCs w:val="28"/>
        </w:rPr>
      </w:pPr>
      <w:r>
        <w:rPr>
          <w:rFonts w:hint="eastAsia" w:ascii="宋体" w:hAnsi="宋体" w:cs="宋体"/>
          <w:color w:val="auto"/>
          <w:sz w:val="28"/>
          <w:szCs w:val="28"/>
        </w:rPr>
        <w:t>《江苏省医疗保障局关于印发医保基金监管“两试点一示范”工作方案的通知》中明确指出：在开展按疾病诊断相关分组（DRG）付费国家试点的地区和开展基于大数据的病种分值付费的地区，运用智能监控系统，加强对临床行为的过程监控，丰富大数据分析比较维度，提升监控效果；推广视频监控、人脸识别等新技术应用，开展药品进销存适时管理，完善医保基金风控体系。</w:t>
      </w:r>
    </w:p>
    <w:p>
      <w:pPr>
        <w:ind w:firstLine="560"/>
        <w:rPr>
          <w:rFonts w:ascii="宋体" w:hAnsi="宋体" w:cs="宋体"/>
          <w:color w:val="auto"/>
          <w:sz w:val="28"/>
          <w:szCs w:val="28"/>
        </w:rPr>
      </w:pPr>
      <w:r>
        <w:rPr>
          <w:rFonts w:hint="eastAsia" w:ascii="宋体" w:hAnsi="宋体" w:cs="宋体"/>
          <w:color w:val="auto"/>
          <w:sz w:val="28"/>
          <w:szCs w:val="28"/>
        </w:rPr>
        <w:t>建设医院综合管理评价服务体系有利于帮助医院构建一体化、全方位的医疗质量与运用管控体系，在保障医疗质量有效控制的基础上，通过信息化的服务手段防范医保拒付或高于支付标准所造成医院无效成本增加的风险，有利于推动医院实施精益化成本核算与成本优化的管理体系，从而减少无效的医疗费用支出，通过精细化运用管理带动效益提升与服务能力升级。</w:t>
      </w:r>
    </w:p>
    <w:p>
      <w:pPr>
        <w:pStyle w:val="19"/>
        <w:ind w:firstLine="480"/>
        <w:rPr>
          <w:rFonts w:ascii="宋体" w:hAnsi="宋体"/>
          <w:color w:val="auto"/>
          <w:sz w:val="28"/>
          <w:szCs w:val="28"/>
        </w:rPr>
      </w:pPr>
    </w:p>
    <w:p>
      <w:pPr>
        <w:pStyle w:val="2"/>
        <w:rPr>
          <w:rFonts w:ascii="宋体" w:hAnsi="宋体" w:eastAsia="宋体"/>
          <w:color w:val="auto"/>
          <w:sz w:val="28"/>
          <w:szCs w:val="28"/>
        </w:rPr>
        <w:sectPr>
          <w:headerReference r:id="rId7" w:type="first"/>
          <w:footerReference r:id="rId10" w:type="first"/>
          <w:headerReference r:id="rId5" w:type="default"/>
          <w:footerReference r:id="rId8" w:type="default"/>
          <w:headerReference r:id="rId6" w:type="even"/>
          <w:footerReference r:id="rId9" w:type="even"/>
          <w:pgSz w:w="11907" w:h="16840"/>
          <w:pgMar w:top="1417" w:right="1701" w:bottom="1134" w:left="1701" w:header="851" w:footer="850" w:gutter="0"/>
          <w:cols w:space="0" w:num="1"/>
          <w:docGrid w:type="lines" w:linePitch="332" w:charSpace="0"/>
        </w:sectPr>
      </w:pPr>
      <w:bookmarkStart w:id="2" w:name="_Toc41316317"/>
    </w:p>
    <w:p>
      <w:pPr>
        <w:pStyle w:val="2"/>
        <w:rPr>
          <w:rFonts w:ascii="宋体" w:hAnsi="宋体" w:eastAsia="宋体"/>
          <w:b/>
          <w:color w:val="auto"/>
          <w:sz w:val="28"/>
          <w:szCs w:val="28"/>
        </w:rPr>
      </w:pPr>
      <w:r>
        <w:rPr>
          <w:rFonts w:ascii="宋体" w:hAnsi="宋体" w:eastAsia="宋体"/>
          <w:b/>
          <w:color w:val="auto"/>
          <w:sz w:val="28"/>
          <w:szCs w:val="28"/>
        </w:rPr>
        <w:t>项目内容</w:t>
      </w:r>
      <w:bookmarkEnd w:id="2"/>
    </w:p>
    <w:p>
      <w:pPr>
        <w:pStyle w:val="4"/>
        <w:rPr>
          <w:rFonts w:ascii="宋体" w:hAnsi="宋体" w:eastAsia="宋体"/>
          <w:color w:val="auto"/>
          <w:sz w:val="28"/>
          <w:szCs w:val="28"/>
        </w:rPr>
      </w:pPr>
      <w:bookmarkStart w:id="3" w:name="_Hlk80975955"/>
      <w:r>
        <w:rPr>
          <w:rFonts w:hint="eastAsia" w:ascii="宋体" w:hAnsi="宋体" w:eastAsia="宋体"/>
          <w:color w:val="auto"/>
          <w:sz w:val="28"/>
          <w:szCs w:val="28"/>
        </w:rPr>
        <w:t>一、病案质控智能管理系统</w:t>
      </w:r>
    </w:p>
    <w:p>
      <w:pPr>
        <w:rPr>
          <w:color w:val="auto"/>
        </w:rPr>
      </w:pPr>
    </w:p>
    <w:tbl>
      <w:tblPr>
        <w:tblStyle w:val="2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412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b/>
                <w:color w:val="auto"/>
                <w:sz w:val="28"/>
                <w:szCs w:val="28"/>
              </w:rPr>
            </w:pPr>
            <w:r>
              <w:rPr>
                <w:rFonts w:hint="eastAsia" w:ascii="宋体" w:hAnsi="宋体"/>
                <w:b/>
                <w:color w:val="auto"/>
                <w:sz w:val="28"/>
                <w:szCs w:val="28"/>
              </w:rPr>
              <w:t>序号</w:t>
            </w:r>
          </w:p>
        </w:tc>
        <w:tc>
          <w:tcPr>
            <w:tcW w:w="4121"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b/>
                <w:color w:val="auto"/>
                <w:sz w:val="28"/>
                <w:szCs w:val="28"/>
              </w:rPr>
            </w:pPr>
            <w:r>
              <w:rPr>
                <w:rFonts w:hint="eastAsia" w:ascii="宋体" w:hAnsi="宋体"/>
                <w:b/>
                <w:color w:val="auto"/>
                <w:sz w:val="28"/>
                <w:szCs w:val="28"/>
              </w:rPr>
              <w:t>子系统</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b/>
                <w:color w:val="auto"/>
                <w:sz w:val="28"/>
                <w:szCs w:val="28"/>
              </w:rPr>
            </w:pPr>
            <w:r>
              <w:rPr>
                <w:rFonts w:hint="eastAsia" w:ascii="宋体" w:hAnsi="宋体"/>
                <w:b/>
                <w:color w:val="auto"/>
                <w:sz w:val="28"/>
                <w:szCs w:val="28"/>
              </w:rPr>
              <w:t>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232"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1</w:t>
            </w:r>
          </w:p>
        </w:tc>
        <w:tc>
          <w:tcPr>
            <w:tcW w:w="4121"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医生/编码人员</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★病案质量校验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232"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p>
        </w:tc>
        <w:tc>
          <w:tcPr>
            <w:tcW w:w="4121"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lang w:eastAsia="zh-Hans"/>
              </w:rPr>
            </w:pPr>
            <w:r>
              <w:rPr>
                <w:rFonts w:hint="eastAsia" w:ascii="宋体" w:hAnsi="宋体"/>
                <w:bCs/>
                <w:color w:val="auto"/>
                <w:sz w:val="28"/>
                <w:szCs w:val="28"/>
              </w:rPr>
              <w:t>▲</w:t>
            </w:r>
            <w:r>
              <w:rPr>
                <w:rFonts w:hint="eastAsia" w:ascii="宋体" w:hAnsi="宋体"/>
                <w:bCs/>
                <w:color w:val="auto"/>
                <w:sz w:val="28"/>
                <w:szCs w:val="28"/>
                <w:lang w:eastAsia="zh-Hans"/>
              </w:rPr>
              <w:t>质控意见书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32"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2</w:t>
            </w:r>
          </w:p>
        </w:tc>
        <w:tc>
          <w:tcPr>
            <w:tcW w:w="4121"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质控人员／管理人员</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▲病案质控管理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32"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4121"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★病案分组模拟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232"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4121"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数据统计分析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32"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4121"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★病案质控效益分析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32"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4121"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lang w:eastAsia="zh-Hans"/>
              </w:rPr>
            </w:pPr>
            <w:r>
              <w:rPr>
                <w:rFonts w:hint="eastAsia" w:ascii="宋体" w:hAnsi="宋体"/>
                <w:bCs/>
                <w:color w:val="auto"/>
                <w:sz w:val="28"/>
                <w:szCs w:val="28"/>
                <w:lang w:eastAsia="zh-Hans"/>
              </w:rPr>
              <w:t>病案标注管理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32"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4121"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lang w:eastAsia="zh-Hans"/>
              </w:rPr>
            </w:pPr>
            <w:r>
              <w:rPr>
                <w:rFonts w:hint="eastAsia" w:ascii="宋体" w:hAnsi="宋体"/>
                <w:bCs/>
                <w:color w:val="auto"/>
                <w:sz w:val="28"/>
                <w:szCs w:val="28"/>
                <w:lang w:eastAsia="zh-Hans"/>
              </w:rPr>
              <w:t>病案信息查询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32"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4121" w:type="dxa"/>
            <w:vMerge w:val="continue"/>
            <w:tcBorders>
              <w:left w:val="single" w:color="auto" w:sz="4" w:space="0"/>
              <w:right w:val="single" w:color="auto" w:sz="4" w:space="0"/>
            </w:tcBorders>
            <w:shd w:val="clear" w:color="auto" w:fill="auto"/>
            <w:vAlign w:val="center"/>
          </w:tcPr>
          <w:p>
            <w:pPr>
              <w:rPr>
                <w:rFonts w:ascii="宋体" w:hAnsi="宋体"/>
                <w:bCs/>
                <w:color w:val="auto"/>
                <w:sz w:val="28"/>
                <w:szCs w:val="28"/>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★病案首页修改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32"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lang w:eastAsia="zh-Hans"/>
              </w:rPr>
            </w:pPr>
          </w:p>
        </w:tc>
        <w:tc>
          <w:tcPr>
            <w:tcW w:w="4121"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lang w:eastAsia="zh-Hans"/>
              </w:rPr>
            </w:pPr>
            <w:r>
              <w:rPr>
                <w:rFonts w:hint="eastAsia" w:ascii="宋体" w:hAnsi="宋体"/>
                <w:bCs/>
                <w:color w:val="auto"/>
                <w:sz w:val="28"/>
                <w:szCs w:val="28"/>
              </w:rPr>
              <w:t>★</w:t>
            </w:r>
            <w:r>
              <w:rPr>
                <w:rFonts w:hint="eastAsia" w:ascii="宋体" w:hAnsi="宋体"/>
                <w:bCs/>
                <w:color w:val="auto"/>
                <w:sz w:val="28"/>
                <w:szCs w:val="28"/>
                <w:lang w:eastAsia="zh-Hans"/>
              </w:rPr>
              <w:t>病案上传</w:t>
            </w:r>
          </w:p>
        </w:tc>
      </w:tr>
    </w:tbl>
    <w:p>
      <w:pPr>
        <w:rPr>
          <w:rFonts w:ascii="宋体" w:hAnsi="宋体"/>
          <w:color w:val="auto"/>
        </w:rPr>
      </w:pPr>
    </w:p>
    <w:p>
      <w:pPr>
        <w:rPr>
          <w:rFonts w:ascii="宋体" w:hAnsi="宋体"/>
          <w:color w:val="auto"/>
        </w:rPr>
      </w:pP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医生/编码人员</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★病案质量校验</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根据医保管理部门按DRG支付病案填报的相关要求，综合采用病案学原则、医学知识与收费项目知识库、人工智能算法，实现对医院病案信息中违反病案学规则的数据予以提醒，并给出修正意见，确保医院填报的病案信息符合上报医保按DRG支付的要求。</w:t>
      </w:r>
    </w:p>
    <w:p>
      <w:pPr>
        <w:pStyle w:val="18"/>
        <w:ind w:left="0" w:leftChars="0" w:firstLine="560" w:firstLineChars="200"/>
        <w:rPr>
          <w:rFonts w:ascii="宋体" w:hAnsi="宋体" w:cs="Times New Roman Regular"/>
          <w:color w:val="auto"/>
          <w:kern w:val="0"/>
          <w:sz w:val="28"/>
          <w:szCs w:val="28"/>
          <w:lang w:eastAsia="zh-Hans"/>
        </w:rPr>
      </w:pPr>
      <w:r>
        <w:rPr>
          <w:rFonts w:hint="eastAsia" w:ascii="宋体" w:hAnsi="宋体"/>
          <w:bCs/>
          <w:color w:val="auto"/>
          <w:sz w:val="28"/>
          <w:szCs w:val="28"/>
        </w:rPr>
        <w:t>▲</w:t>
      </w:r>
      <w:r>
        <w:rPr>
          <w:rFonts w:hint="eastAsia" w:ascii="宋体" w:hAnsi="宋体" w:cs="Times New Roman Regular"/>
          <w:color w:val="auto"/>
          <w:kern w:val="0"/>
          <w:sz w:val="28"/>
          <w:szCs w:val="28"/>
          <w:lang w:eastAsia="zh-Hans"/>
        </w:rPr>
        <w:t>质控意见书</w:t>
      </w:r>
    </w:p>
    <w:p>
      <w:pPr>
        <w:pStyle w:val="18"/>
        <w:ind w:left="0" w:leftChars="0" w:firstLine="560" w:firstLineChars="200"/>
        <w:rPr>
          <w:rFonts w:ascii="宋体" w:hAnsi="宋体" w:cs="Times New Roman Regular"/>
          <w:color w:val="auto"/>
          <w:kern w:val="0"/>
          <w:sz w:val="28"/>
          <w:szCs w:val="28"/>
          <w:lang w:eastAsia="zh-Hans"/>
        </w:rPr>
      </w:pPr>
      <w:r>
        <w:rPr>
          <w:rFonts w:hint="eastAsia" w:ascii="宋体" w:hAnsi="宋体" w:cs="Times New Roman Regular"/>
          <w:color w:val="auto"/>
          <w:kern w:val="0"/>
          <w:sz w:val="28"/>
          <w:szCs w:val="28"/>
          <w:lang w:eastAsia="zh-Hans"/>
        </w:rPr>
        <w:t>系统对临床医生提交的病案进行质控并提供质控意见书，支持临床医生对电子病历修订后重新提交再次查看质控意见。</w:t>
      </w:r>
    </w:p>
    <w:p>
      <w:pPr>
        <w:pStyle w:val="18"/>
        <w:ind w:left="0" w:leftChars="0" w:firstLine="560" w:firstLineChars="200"/>
        <w:rPr>
          <w:rFonts w:ascii="宋体" w:hAnsi="宋体" w:cs="Times New Roman Regular"/>
          <w:color w:val="auto"/>
          <w:kern w:val="0"/>
          <w:sz w:val="28"/>
          <w:szCs w:val="28"/>
        </w:rPr>
      </w:pP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质控人员／管理人员</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▲病案质控管理</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在病案质控管理模块，医院病案质控人员可以对各病案责任医师完成的病案修正结果进行复核和最终确认，提高病案修正率；质控规则符合医保管理要求，完成审核后可用于上传医保管理部门。</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★病案分组模拟</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为每个出院病例提供DRG分组模拟，并提供分组查询功能。</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数据统计分析</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提供灵活的统计分析功能，通过选定时间范围内，全院科室、校验规则等维度进行钻取，分析医院病案总体情况和趋势变化，为医院对病案填报中存在的问题进行针对性地改善和提高提供数据依据。</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★病案质控效益分析</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提供医院病案质控相关的工作量统计及效益分析。对病案科、科室质控人员、临床医生等对病案的质控情况进行统计，并根据DRG付费标准核算质控效益，为医院评估全院病案质控工作量及进行质控效益相关综合评价提供依据。</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病案标注管理</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提供病案标注及人工反馈意见模板自定义服务</w:t>
      </w:r>
      <w:r>
        <w:rPr>
          <w:rFonts w:hint="eastAsia" w:ascii="宋体" w:hAnsi="宋体" w:cs="Times New Roman Regular"/>
          <w:color w:val="auto"/>
          <w:kern w:val="0"/>
          <w:sz w:val="28"/>
          <w:szCs w:val="28"/>
          <w:lang w:eastAsia="zh-Hans"/>
        </w:rPr>
        <w:t>，为病案管理提供便捷化标识工具。</w:t>
      </w:r>
    </w:p>
    <w:p>
      <w:pPr>
        <w:pStyle w:val="18"/>
        <w:ind w:left="0" w:leftChars="0" w:firstLine="560" w:firstLineChars="200"/>
        <w:rPr>
          <w:rFonts w:ascii="宋体" w:hAnsi="宋体" w:cs="Times New Roman Regular"/>
          <w:color w:val="auto"/>
          <w:kern w:val="0"/>
          <w:sz w:val="28"/>
          <w:szCs w:val="28"/>
        </w:rPr>
      </w:pP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病案信息查询</w:t>
      </w:r>
    </w:p>
    <w:p>
      <w:pPr>
        <w:pStyle w:val="18"/>
        <w:ind w:left="0" w:leftChars="0" w:firstLine="560" w:firstLineChars="200"/>
        <w:rPr>
          <w:rFonts w:ascii="宋体" w:hAnsi="宋体" w:cs="Times New Roman Regular"/>
          <w:color w:val="auto"/>
          <w:kern w:val="0"/>
          <w:sz w:val="28"/>
          <w:szCs w:val="28"/>
        </w:rPr>
      </w:pPr>
      <w:r>
        <w:rPr>
          <w:rFonts w:hint="eastAsia" w:ascii="宋体" w:hAnsi="宋体" w:cs="Times New Roman Regular"/>
          <w:color w:val="auto"/>
          <w:kern w:val="0"/>
          <w:sz w:val="28"/>
          <w:szCs w:val="28"/>
        </w:rPr>
        <w:t>支持通过出院时间、病案号、病案校验规则、DRG分组、风险类型等多维度检索，查看病例病案</w:t>
      </w:r>
      <w:r>
        <w:rPr>
          <w:rFonts w:hint="eastAsia" w:ascii="宋体" w:hAnsi="宋体" w:cs="Times New Roman Regular"/>
          <w:color w:val="auto"/>
          <w:kern w:val="0"/>
          <w:sz w:val="28"/>
          <w:szCs w:val="28"/>
          <w:lang w:eastAsia="zh-Hans"/>
        </w:rPr>
        <w:t>首页</w:t>
      </w:r>
      <w:r>
        <w:rPr>
          <w:rFonts w:hint="eastAsia" w:ascii="宋体" w:hAnsi="宋体" w:cs="Times New Roman Regular"/>
          <w:color w:val="auto"/>
          <w:kern w:val="0"/>
          <w:sz w:val="28"/>
          <w:szCs w:val="28"/>
        </w:rPr>
        <w:t>信息、校验结果及DRG分组信息。提供快速查询、数据导出等功能，提升病案查询效率。</w:t>
      </w:r>
      <w:bookmarkEnd w:id="3"/>
      <w:bookmarkStart w:id="4" w:name="_Toc41316320"/>
    </w:p>
    <w:p>
      <w:pPr>
        <w:pStyle w:val="18"/>
        <w:ind w:left="0" w:leftChars="0" w:firstLine="560" w:firstLineChars="200"/>
        <w:rPr>
          <w:rFonts w:ascii="宋体" w:hAnsi="宋体"/>
          <w:bCs/>
          <w:color w:val="auto"/>
          <w:sz w:val="28"/>
          <w:szCs w:val="28"/>
        </w:rPr>
      </w:pPr>
      <w:r>
        <w:rPr>
          <w:rFonts w:hint="eastAsia" w:ascii="宋体" w:hAnsi="宋体"/>
          <w:bCs/>
          <w:color w:val="auto"/>
          <w:sz w:val="28"/>
          <w:szCs w:val="28"/>
        </w:rPr>
        <w:t>★病案首页修改</w:t>
      </w:r>
    </w:p>
    <w:p>
      <w:pPr>
        <w:pStyle w:val="18"/>
        <w:ind w:left="0" w:leftChars="0" w:firstLine="560" w:firstLineChars="200"/>
        <w:rPr>
          <w:rFonts w:ascii="宋体" w:hAnsi="宋体"/>
          <w:bCs/>
          <w:color w:val="auto"/>
          <w:sz w:val="28"/>
          <w:szCs w:val="28"/>
        </w:rPr>
      </w:pPr>
      <w:r>
        <w:rPr>
          <w:rFonts w:hint="eastAsia" w:ascii="宋体" w:hAnsi="宋体"/>
          <w:bCs/>
          <w:color w:val="auto"/>
          <w:sz w:val="28"/>
          <w:szCs w:val="28"/>
        </w:rPr>
        <w:t>支持对终审病例进行调整修改。可对首页内基础信息、诊断、手术等字段进行调整修改，改善和提高病案管理质量，确保病案信息符合上报医保的要求，同时兼顾卫健考核质控编码规则要求，实现院内数据质量的标准、合规。</w:t>
      </w:r>
    </w:p>
    <w:p>
      <w:pPr>
        <w:pStyle w:val="18"/>
        <w:ind w:left="0" w:leftChars="0" w:firstLine="560" w:firstLineChars="200"/>
        <w:rPr>
          <w:rFonts w:ascii="宋体" w:hAnsi="宋体" w:cs="Times New Roman Regular"/>
          <w:color w:val="auto"/>
          <w:kern w:val="0"/>
          <w:sz w:val="28"/>
          <w:szCs w:val="28"/>
        </w:rPr>
      </w:pPr>
      <w:r>
        <w:rPr>
          <w:rFonts w:hint="eastAsia" w:ascii="宋体" w:hAnsi="宋体"/>
          <w:bCs/>
          <w:color w:val="auto"/>
          <w:sz w:val="28"/>
          <w:szCs w:val="28"/>
        </w:rPr>
        <w:t>★</w:t>
      </w:r>
      <w:r>
        <w:rPr>
          <w:rFonts w:ascii="宋体" w:hAnsi="宋体"/>
          <w:color w:val="auto"/>
          <w:sz w:val="28"/>
          <w:szCs w:val="28"/>
        </w:rPr>
        <w:t>病案</w:t>
      </w:r>
      <w:r>
        <w:rPr>
          <w:rFonts w:hint="eastAsia" w:ascii="宋体" w:hAnsi="宋体"/>
          <w:color w:val="auto"/>
          <w:sz w:val="28"/>
          <w:szCs w:val="28"/>
        </w:rPr>
        <w:t>上传接口</w:t>
      </w:r>
    </w:p>
    <w:p>
      <w:pPr>
        <w:ind w:firstLine="560" w:firstLineChars="200"/>
        <w:rPr>
          <w:rFonts w:ascii="宋体" w:hAnsi="宋体"/>
          <w:color w:val="auto"/>
          <w:sz w:val="28"/>
          <w:szCs w:val="28"/>
          <w:lang w:eastAsia="zh-Hans"/>
        </w:rPr>
      </w:pPr>
      <w:r>
        <w:rPr>
          <w:rFonts w:hint="eastAsia" w:ascii="宋体" w:hAnsi="宋体"/>
          <w:color w:val="auto"/>
          <w:sz w:val="28"/>
          <w:szCs w:val="28"/>
          <w:lang w:eastAsia="zh-Hans"/>
        </w:rPr>
        <w:t>系统能够支持基于质控后的病案首页，采用接口或视图的方式进行数据归集，实现病案首页上传的数据上报功能。按照南京市医保局</w:t>
      </w:r>
      <w:r>
        <w:rPr>
          <w:rFonts w:ascii="宋体" w:hAnsi="宋体"/>
          <w:color w:val="auto"/>
          <w:sz w:val="28"/>
          <w:szCs w:val="28"/>
          <w:lang w:eastAsia="zh-Hans"/>
        </w:rPr>
        <w:t>DRG</w:t>
      </w:r>
      <w:r>
        <w:rPr>
          <w:rFonts w:hint="eastAsia" w:ascii="宋体" w:hAnsi="宋体"/>
          <w:color w:val="auto"/>
          <w:sz w:val="28"/>
          <w:szCs w:val="28"/>
          <w:lang w:eastAsia="zh-Hans"/>
        </w:rPr>
        <w:t>数据结算和病案首页上传要求，协助医院完成每月病案上报工作。</w:t>
      </w:r>
    </w:p>
    <w:p>
      <w:pPr>
        <w:ind w:firstLine="560" w:firstLineChars="200"/>
        <w:rPr>
          <w:rFonts w:ascii="宋体" w:hAnsi="宋体"/>
          <w:color w:val="auto"/>
          <w:sz w:val="28"/>
          <w:szCs w:val="28"/>
          <w:lang w:eastAsia="zh-Hans"/>
        </w:rPr>
      </w:pPr>
    </w:p>
    <w:p>
      <w:pPr>
        <w:pStyle w:val="4"/>
        <w:rPr>
          <w:rFonts w:ascii="宋体" w:hAnsi="宋体" w:eastAsia="宋体"/>
          <w:color w:val="auto"/>
          <w:sz w:val="28"/>
          <w:szCs w:val="28"/>
        </w:rPr>
      </w:pPr>
      <w:r>
        <w:rPr>
          <w:rFonts w:hint="eastAsia" w:ascii="宋体" w:hAnsi="宋体" w:eastAsia="宋体"/>
          <w:color w:val="auto"/>
          <w:sz w:val="28"/>
          <w:szCs w:val="28"/>
        </w:rPr>
        <w:t>二、基于D</w:t>
      </w:r>
      <w:r>
        <w:rPr>
          <w:rFonts w:ascii="宋体" w:hAnsi="宋体" w:eastAsia="宋体"/>
          <w:color w:val="auto"/>
          <w:sz w:val="28"/>
          <w:szCs w:val="28"/>
        </w:rPr>
        <w:t>RG</w:t>
      </w:r>
      <w:r>
        <w:rPr>
          <w:rFonts w:hint="eastAsia" w:ascii="宋体" w:hAnsi="宋体" w:eastAsia="宋体"/>
          <w:color w:val="auto"/>
          <w:sz w:val="28"/>
          <w:szCs w:val="28"/>
        </w:rPr>
        <w:t>清单服务</w:t>
      </w:r>
    </w:p>
    <w:p>
      <w:pPr>
        <w:rPr>
          <w:color w:val="auto"/>
        </w:rPr>
      </w:pPr>
    </w:p>
    <w:tbl>
      <w:tblPr>
        <w:tblStyle w:val="28"/>
        <w:tblW w:w="9209" w:type="dxa"/>
        <w:tblInd w:w="113" w:type="dxa"/>
        <w:tblLayout w:type="fixed"/>
        <w:tblCellMar>
          <w:top w:w="0" w:type="dxa"/>
          <w:left w:w="108" w:type="dxa"/>
          <w:bottom w:w="0" w:type="dxa"/>
          <w:right w:w="108" w:type="dxa"/>
        </w:tblCellMar>
      </w:tblPr>
      <w:tblGrid>
        <w:gridCol w:w="1060"/>
        <w:gridCol w:w="2763"/>
        <w:gridCol w:w="5386"/>
      </w:tblGrid>
      <w:tr>
        <w:trPr>
          <w:trHeight w:val="270"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b/>
                <w:color w:val="auto"/>
                <w:sz w:val="28"/>
                <w:szCs w:val="28"/>
              </w:rPr>
            </w:pPr>
            <w:r>
              <w:rPr>
                <w:rFonts w:hint="eastAsia" w:ascii="宋体" w:hAnsi="宋体"/>
                <w:b/>
                <w:color w:val="auto"/>
                <w:sz w:val="28"/>
                <w:szCs w:val="28"/>
              </w:rPr>
              <w:t>序号</w:t>
            </w:r>
          </w:p>
        </w:tc>
        <w:tc>
          <w:tcPr>
            <w:tcW w:w="2763"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b/>
                <w:color w:val="auto"/>
                <w:sz w:val="28"/>
                <w:szCs w:val="28"/>
              </w:rPr>
            </w:pPr>
            <w:r>
              <w:rPr>
                <w:rFonts w:hint="eastAsia" w:ascii="宋体" w:hAnsi="宋体"/>
                <w:b/>
                <w:color w:val="auto"/>
                <w:sz w:val="28"/>
                <w:szCs w:val="28"/>
              </w:rPr>
              <w:t>实施阶段</w:t>
            </w:r>
          </w:p>
        </w:tc>
        <w:tc>
          <w:tcPr>
            <w:tcW w:w="5386" w:type="dxa"/>
            <w:tcBorders>
              <w:top w:val="single" w:color="auto" w:sz="4" w:space="0"/>
              <w:left w:val="nil"/>
              <w:bottom w:val="single" w:color="auto" w:sz="4" w:space="0"/>
              <w:right w:val="single" w:color="auto" w:sz="4" w:space="0"/>
            </w:tcBorders>
            <w:shd w:val="clear" w:color="auto" w:fill="auto"/>
            <w:noWrap/>
            <w:vAlign w:val="center"/>
          </w:tcPr>
          <w:p>
            <w:pPr>
              <w:rPr>
                <w:rFonts w:ascii="宋体" w:hAnsi="宋体"/>
                <w:b/>
                <w:color w:val="auto"/>
                <w:sz w:val="28"/>
                <w:szCs w:val="28"/>
              </w:rPr>
            </w:pPr>
            <w:r>
              <w:rPr>
                <w:rFonts w:hint="eastAsia" w:ascii="宋体" w:hAnsi="宋体"/>
                <w:b/>
                <w:color w:val="auto"/>
                <w:sz w:val="28"/>
                <w:szCs w:val="28"/>
              </w:rPr>
              <w:t>服务清单</w:t>
            </w:r>
          </w:p>
        </w:tc>
      </w:tr>
      <w:tr>
        <w:tblPrEx>
          <w:tblCellMar>
            <w:top w:w="0" w:type="dxa"/>
            <w:left w:w="108" w:type="dxa"/>
            <w:bottom w:w="0" w:type="dxa"/>
            <w:right w:w="108" w:type="dxa"/>
          </w:tblCellMar>
        </w:tblPrEx>
        <w:trPr>
          <w:trHeight w:val="270" w:hRule="atLeast"/>
        </w:trPr>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Cs/>
                <w:color w:val="auto"/>
                <w:sz w:val="28"/>
                <w:szCs w:val="28"/>
              </w:rPr>
            </w:pPr>
            <w:r>
              <w:rPr>
                <w:rFonts w:hint="eastAsia" w:ascii="宋体" w:hAnsi="宋体"/>
                <w:bCs/>
                <w:color w:val="auto"/>
                <w:sz w:val="28"/>
                <w:szCs w:val="28"/>
              </w:rPr>
              <w:t>1</w:t>
            </w:r>
          </w:p>
        </w:tc>
        <w:tc>
          <w:tcPr>
            <w:tcW w:w="2763" w:type="dxa"/>
            <w:vMerge w:val="restar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Cs/>
                <w:color w:val="auto"/>
                <w:sz w:val="28"/>
                <w:szCs w:val="28"/>
              </w:rPr>
            </w:pPr>
            <w:r>
              <w:rPr>
                <w:rFonts w:hint="eastAsia" w:ascii="宋体" w:hAnsi="宋体"/>
                <w:bCs/>
                <w:color w:val="auto"/>
                <w:sz w:val="28"/>
                <w:szCs w:val="28"/>
              </w:rPr>
              <w:t>实施准备</w:t>
            </w: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★DRG基础知识</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▲DRG实施关键技术</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DRG常见应用</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★DRG付费医院应对策略</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国家政策文件解读</w:t>
            </w:r>
          </w:p>
        </w:tc>
      </w:tr>
      <w:tr>
        <w:tblPrEx>
          <w:tblCellMar>
            <w:top w:w="0" w:type="dxa"/>
            <w:left w:w="108" w:type="dxa"/>
            <w:bottom w:w="0" w:type="dxa"/>
            <w:right w:w="108" w:type="dxa"/>
          </w:tblCellMar>
        </w:tblPrEx>
        <w:trPr>
          <w:trHeight w:val="270" w:hRule="atLeast"/>
        </w:trPr>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2</w:t>
            </w:r>
          </w:p>
        </w:tc>
        <w:tc>
          <w:tcPr>
            <w:tcW w:w="2763" w:type="dxa"/>
            <w:vMerge w:val="restart"/>
            <w:tcBorders>
              <w:top w:val="nil"/>
              <w:left w:val="single" w:color="auto" w:sz="4" w:space="0"/>
              <w:bottom w:val="single" w:color="auto" w:sz="4" w:space="0"/>
              <w:right w:val="single" w:color="auto" w:sz="4" w:space="0"/>
            </w:tcBorders>
            <w:shd w:val="clear" w:color="auto" w:fill="auto"/>
            <w:vAlign w:val="center"/>
          </w:tcPr>
          <w:p>
            <w:pPr>
              <w:rPr>
                <w:rFonts w:ascii="宋体" w:hAnsi="宋体"/>
                <w:bCs/>
                <w:color w:val="auto"/>
                <w:sz w:val="28"/>
                <w:szCs w:val="28"/>
              </w:rPr>
            </w:pPr>
            <w:r>
              <w:rPr>
                <w:rFonts w:hint="eastAsia" w:ascii="宋体" w:hAnsi="宋体"/>
                <w:bCs/>
                <w:color w:val="auto"/>
                <w:sz w:val="28"/>
                <w:szCs w:val="28"/>
              </w:rPr>
              <w:t>DRG分组&amp;模拟测算</w:t>
            </w: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▲医院病案质量评估</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★病案首页规范填写</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医院下发资料解读</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医院病例反馈建议</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★地区实施细则解读</w:t>
            </w:r>
          </w:p>
        </w:tc>
      </w:tr>
      <w:tr>
        <w:tblPrEx>
          <w:tblCellMar>
            <w:top w:w="0" w:type="dxa"/>
            <w:left w:w="108" w:type="dxa"/>
            <w:bottom w:w="0" w:type="dxa"/>
            <w:right w:w="108" w:type="dxa"/>
          </w:tblCellMar>
        </w:tblPrEx>
        <w:trPr>
          <w:trHeight w:val="270" w:hRule="atLeast"/>
        </w:trPr>
        <w:tc>
          <w:tcPr>
            <w:tcW w:w="1060" w:type="dxa"/>
            <w:vMerge w:val="restar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Cs/>
                <w:color w:val="auto"/>
                <w:sz w:val="28"/>
                <w:szCs w:val="28"/>
              </w:rPr>
            </w:pPr>
            <w:r>
              <w:rPr>
                <w:rFonts w:hint="eastAsia" w:ascii="宋体" w:hAnsi="宋体"/>
                <w:bCs/>
                <w:color w:val="auto"/>
                <w:sz w:val="28"/>
                <w:szCs w:val="28"/>
              </w:rPr>
              <w:t>3</w:t>
            </w:r>
          </w:p>
        </w:tc>
        <w:tc>
          <w:tcPr>
            <w:tcW w:w="2763" w:type="dxa"/>
            <w:vMerge w:val="restart"/>
            <w:tcBorders>
              <w:top w:val="nil"/>
              <w:left w:val="single" w:color="auto" w:sz="4" w:space="0"/>
              <w:bottom w:val="single" w:color="auto" w:sz="4" w:space="0"/>
              <w:right w:val="single" w:color="auto" w:sz="4" w:space="0"/>
            </w:tcBorders>
            <w:shd w:val="clear" w:color="auto" w:fill="auto"/>
            <w:noWrap/>
            <w:vAlign w:val="center"/>
          </w:tcPr>
          <w:p>
            <w:pPr>
              <w:rPr>
                <w:rFonts w:ascii="宋体" w:hAnsi="宋体"/>
                <w:bCs/>
                <w:color w:val="auto"/>
                <w:sz w:val="28"/>
                <w:szCs w:val="28"/>
              </w:rPr>
            </w:pPr>
            <w:r>
              <w:rPr>
                <w:rFonts w:hint="eastAsia" w:ascii="宋体" w:hAnsi="宋体"/>
                <w:bCs/>
                <w:color w:val="auto"/>
                <w:sz w:val="28"/>
                <w:szCs w:val="28"/>
              </w:rPr>
              <w:t>DRG运行</w:t>
            </w: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★月度分组及拨付分析</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★院内结算差异定位</w:t>
            </w:r>
          </w:p>
        </w:tc>
      </w:tr>
      <w:tr>
        <w:tblPrEx>
          <w:tblCellMar>
            <w:top w:w="0" w:type="dxa"/>
            <w:left w:w="108" w:type="dxa"/>
            <w:bottom w:w="0" w:type="dxa"/>
            <w:right w:w="108" w:type="dxa"/>
          </w:tblCellMar>
        </w:tblPrEx>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▲病例DRG申诉建议</w:t>
            </w:r>
          </w:p>
        </w:tc>
      </w:tr>
      <w:tr>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★院内运营管理策略</w:t>
            </w:r>
          </w:p>
        </w:tc>
      </w:tr>
      <w:tr>
        <w:trPr>
          <w:trHeight w:val="270" w:hRule="atLeast"/>
        </w:trPr>
        <w:tc>
          <w:tcPr>
            <w:tcW w:w="1060"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2763" w:type="dxa"/>
            <w:vMerge w:val="continue"/>
            <w:tcBorders>
              <w:top w:val="nil"/>
              <w:left w:val="single" w:color="auto" w:sz="4" w:space="0"/>
              <w:bottom w:val="single" w:color="auto" w:sz="4" w:space="0"/>
              <w:right w:val="single" w:color="auto" w:sz="4" w:space="0"/>
            </w:tcBorders>
            <w:vAlign w:val="center"/>
          </w:tcPr>
          <w:p>
            <w:pPr>
              <w:rPr>
                <w:rFonts w:ascii="宋体" w:hAnsi="宋体"/>
                <w:bCs/>
                <w:color w:val="auto"/>
                <w:sz w:val="28"/>
                <w:szCs w:val="28"/>
              </w:rPr>
            </w:pPr>
          </w:p>
        </w:tc>
        <w:tc>
          <w:tcPr>
            <w:tcW w:w="5386" w:type="dxa"/>
            <w:tcBorders>
              <w:top w:val="nil"/>
              <w:left w:val="nil"/>
              <w:bottom w:val="single" w:color="auto" w:sz="4" w:space="0"/>
              <w:right w:val="single" w:color="auto" w:sz="4" w:space="0"/>
            </w:tcBorders>
            <w:shd w:val="clear" w:color="000000" w:fill="FFFFFF"/>
            <w:noWrap/>
            <w:vAlign w:val="center"/>
          </w:tcPr>
          <w:p>
            <w:pPr>
              <w:rPr>
                <w:rFonts w:ascii="宋体" w:hAnsi="宋体"/>
                <w:bCs/>
                <w:color w:val="auto"/>
                <w:sz w:val="28"/>
                <w:szCs w:val="28"/>
              </w:rPr>
            </w:pPr>
            <w:r>
              <w:rPr>
                <w:rFonts w:hint="eastAsia" w:ascii="宋体" w:hAnsi="宋体"/>
                <w:bCs/>
                <w:color w:val="auto"/>
                <w:sz w:val="28"/>
                <w:szCs w:val="28"/>
              </w:rPr>
              <w:t>★DRG绩效分析</w:t>
            </w:r>
          </w:p>
        </w:tc>
      </w:tr>
    </w:tbl>
    <w:p>
      <w:pPr>
        <w:rPr>
          <w:rFonts w:ascii="宋体" w:hAnsi="宋体"/>
          <w:bCs/>
          <w:color w:val="auto"/>
          <w:sz w:val="28"/>
          <w:szCs w:val="28"/>
        </w:rPr>
      </w:pPr>
    </w:p>
    <w:p>
      <w:pPr>
        <w:rPr>
          <w:rFonts w:ascii="宋体" w:hAnsi="宋体"/>
          <w:b/>
          <w:color w:val="auto"/>
          <w:sz w:val="28"/>
          <w:szCs w:val="28"/>
        </w:rPr>
      </w:pPr>
      <w:r>
        <w:rPr>
          <w:rFonts w:hint="eastAsia" w:ascii="宋体" w:hAnsi="宋体"/>
          <w:b/>
          <w:color w:val="auto"/>
          <w:sz w:val="28"/>
          <w:szCs w:val="28"/>
        </w:rPr>
        <w:t>实施准备</w:t>
      </w:r>
    </w:p>
    <w:p>
      <w:pPr>
        <w:rPr>
          <w:rFonts w:ascii="宋体" w:hAnsi="宋体"/>
          <w:bCs/>
          <w:color w:val="auto"/>
          <w:sz w:val="28"/>
          <w:szCs w:val="28"/>
        </w:rPr>
      </w:pPr>
      <w:r>
        <w:rPr>
          <w:rFonts w:hint="eastAsia" w:ascii="宋体" w:hAnsi="宋体"/>
          <w:bCs/>
          <w:color w:val="auto"/>
          <w:sz w:val="28"/>
          <w:szCs w:val="28"/>
        </w:rPr>
        <w:t>★DRG基础知识</w:t>
      </w:r>
    </w:p>
    <w:p>
      <w:pPr>
        <w:ind w:firstLine="560" w:firstLineChars="200"/>
        <w:rPr>
          <w:rFonts w:ascii="宋体" w:hAnsi="宋体"/>
          <w:bCs/>
          <w:color w:val="auto"/>
          <w:sz w:val="28"/>
          <w:szCs w:val="28"/>
        </w:rPr>
      </w:pPr>
      <w:r>
        <w:rPr>
          <w:rFonts w:hint="eastAsia" w:ascii="宋体" w:hAnsi="宋体"/>
          <w:bCs/>
          <w:color w:val="auto"/>
          <w:sz w:val="28"/>
          <w:szCs w:val="28"/>
        </w:rPr>
        <w:t>包含了DRG的概念及其对医院、医生的影响；DRG的分组原理、分组依据及具体分组流程；DRG用于结算的基础知识及低倍率病例、正常病例、高倍率病例三种病例的医保拨付规则；病案填写的规范性以及完整性对于DRG分组的影响。</w:t>
      </w:r>
    </w:p>
    <w:p>
      <w:pPr>
        <w:rPr>
          <w:rFonts w:ascii="宋体" w:hAnsi="宋体"/>
          <w:bCs/>
          <w:color w:val="auto"/>
          <w:sz w:val="28"/>
          <w:szCs w:val="28"/>
        </w:rPr>
      </w:pPr>
      <w:r>
        <w:rPr>
          <w:rFonts w:hint="eastAsia" w:ascii="宋体" w:hAnsi="宋体"/>
          <w:bCs/>
          <w:color w:val="auto"/>
          <w:sz w:val="28"/>
          <w:szCs w:val="28"/>
        </w:rPr>
        <w:t>▲DRG实施关键技术</w:t>
      </w:r>
    </w:p>
    <w:p>
      <w:pPr>
        <w:ind w:firstLine="560" w:firstLineChars="200"/>
        <w:rPr>
          <w:rFonts w:ascii="宋体" w:hAnsi="宋体"/>
          <w:bCs/>
          <w:color w:val="auto"/>
          <w:sz w:val="28"/>
          <w:szCs w:val="28"/>
        </w:rPr>
      </w:pPr>
      <w:r>
        <w:rPr>
          <w:rFonts w:hint="eastAsia" w:ascii="宋体" w:hAnsi="宋体"/>
          <w:bCs/>
          <w:color w:val="auto"/>
          <w:sz w:val="28"/>
          <w:szCs w:val="28"/>
        </w:rPr>
        <w:t>DRG落地的实施关键技术包含病例数据采集及数据质量控制；DRG分组效能识别、异常情况识别及反馈沟通；DRG付费标准及结算细则；以及监管考核与效果评估。</w:t>
      </w:r>
    </w:p>
    <w:p>
      <w:pPr>
        <w:rPr>
          <w:rFonts w:ascii="宋体" w:hAnsi="宋体"/>
          <w:bCs/>
          <w:color w:val="auto"/>
          <w:sz w:val="28"/>
          <w:szCs w:val="28"/>
        </w:rPr>
      </w:pPr>
      <w:r>
        <w:rPr>
          <w:rFonts w:hint="eastAsia" w:ascii="宋体" w:hAnsi="宋体"/>
          <w:bCs/>
          <w:color w:val="auto"/>
          <w:sz w:val="28"/>
          <w:szCs w:val="28"/>
        </w:rPr>
        <w:t>DRG常见应用</w:t>
      </w:r>
    </w:p>
    <w:p>
      <w:pPr>
        <w:ind w:firstLine="560" w:firstLineChars="200"/>
        <w:rPr>
          <w:rFonts w:ascii="宋体" w:hAnsi="宋体"/>
          <w:bCs/>
          <w:color w:val="auto"/>
          <w:sz w:val="28"/>
          <w:szCs w:val="28"/>
        </w:rPr>
      </w:pPr>
      <w:r>
        <w:rPr>
          <w:rFonts w:hint="eastAsia" w:ascii="宋体" w:hAnsi="宋体"/>
          <w:bCs/>
          <w:color w:val="auto"/>
          <w:sz w:val="28"/>
          <w:szCs w:val="28"/>
        </w:rPr>
        <w:t>DRG常见应用包含了DRGs权重和病例组合指数（Case-MixIndex,CMI）。每个DRGs的权重能够客观描述所属DRG组的医疗服务价值，而各权重之间的差异反映了病例服务强度和资源消耗差异。CMI是在DRG权重值的基础上计算出的指标；该指标反映了住院患者的病情复杂程度及医疗资源消耗程度。</w:t>
      </w:r>
    </w:p>
    <w:p>
      <w:pPr>
        <w:rPr>
          <w:rFonts w:ascii="宋体" w:hAnsi="宋体"/>
          <w:bCs/>
          <w:color w:val="auto"/>
          <w:sz w:val="28"/>
          <w:szCs w:val="28"/>
        </w:rPr>
      </w:pPr>
      <w:r>
        <w:rPr>
          <w:rFonts w:hint="eastAsia" w:ascii="宋体" w:hAnsi="宋体"/>
          <w:bCs/>
          <w:color w:val="auto"/>
          <w:sz w:val="28"/>
          <w:szCs w:val="28"/>
        </w:rPr>
        <w:t>★DRG付费医院应对策略</w:t>
      </w:r>
    </w:p>
    <w:p>
      <w:pPr>
        <w:ind w:firstLine="560" w:firstLineChars="200"/>
        <w:rPr>
          <w:rFonts w:ascii="宋体" w:hAnsi="宋体"/>
          <w:bCs/>
          <w:color w:val="auto"/>
          <w:sz w:val="28"/>
          <w:szCs w:val="28"/>
        </w:rPr>
      </w:pPr>
      <w:r>
        <w:rPr>
          <w:rFonts w:hint="eastAsia" w:ascii="宋体" w:hAnsi="宋体"/>
          <w:bCs/>
          <w:color w:val="auto"/>
          <w:sz w:val="28"/>
          <w:szCs w:val="28"/>
        </w:rPr>
        <w:t>提供一整套系统工具辅助医院应对DRG付费改革，保证医疗数据规范填写；协助做好医保结算、病例分组、病例反馈、盈亏分析、汇总反馈科室问题等工作；做好医疗质量监管和督导；做好技术数据支撑保障。</w:t>
      </w:r>
    </w:p>
    <w:p>
      <w:pPr>
        <w:rPr>
          <w:rFonts w:ascii="宋体" w:hAnsi="宋体"/>
          <w:bCs/>
          <w:color w:val="auto"/>
          <w:sz w:val="28"/>
          <w:szCs w:val="28"/>
        </w:rPr>
      </w:pPr>
      <w:r>
        <w:rPr>
          <w:rFonts w:hint="eastAsia" w:ascii="宋体" w:hAnsi="宋体"/>
          <w:bCs/>
          <w:color w:val="auto"/>
          <w:sz w:val="28"/>
          <w:szCs w:val="28"/>
        </w:rPr>
        <w:t>国家政策文件解读</w:t>
      </w:r>
    </w:p>
    <w:p>
      <w:pPr>
        <w:ind w:firstLine="560" w:firstLineChars="200"/>
        <w:rPr>
          <w:rFonts w:ascii="宋体" w:hAnsi="宋体"/>
          <w:bCs/>
          <w:color w:val="auto"/>
          <w:sz w:val="28"/>
          <w:szCs w:val="28"/>
        </w:rPr>
      </w:pPr>
      <w:r>
        <w:rPr>
          <w:rFonts w:hint="eastAsia" w:ascii="宋体" w:hAnsi="宋体"/>
          <w:bCs/>
          <w:color w:val="auto"/>
          <w:sz w:val="28"/>
          <w:szCs w:val="28"/>
        </w:rPr>
        <w:t>针对国家医保局对DRG支付改革政策的解读，以供参考。</w:t>
      </w:r>
    </w:p>
    <w:p>
      <w:pPr>
        <w:rPr>
          <w:rFonts w:ascii="宋体" w:hAnsi="宋体"/>
          <w:b/>
          <w:color w:val="auto"/>
          <w:sz w:val="28"/>
          <w:szCs w:val="28"/>
        </w:rPr>
      </w:pPr>
      <w:r>
        <w:rPr>
          <w:rFonts w:ascii="宋体" w:hAnsi="宋体"/>
          <w:b/>
          <w:color w:val="auto"/>
          <w:sz w:val="28"/>
          <w:szCs w:val="28"/>
        </w:rPr>
        <w:t>D</w:t>
      </w:r>
      <w:r>
        <w:rPr>
          <w:rFonts w:hint="eastAsia" w:ascii="宋体" w:hAnsi="宋体"/>
          <w:b/>
          <w:color w:val="auto"/>
          <w:sz w:val="28"/>
          <w:szCs w:val="28"/>
        </w:rPr>
        <w:t>RG分组&amp;模拟测算</w:t>
      </w:r>
    </w:p>
    <w:p>
      <w:pPr>
        <w:rPr>
          <w:rFonts w:ascii="宋体" w:hAnsi="宋体"/>
          <w:bCs/>
          <w:color w:val="auto"/>
          <w:sz w:val="28"/>
          <w:szCs w:val="28"/>
        </w:rPr>
      </w:pPr>
      <w:r>
        <w:rPr>
          <w:rFonts w:hint="eastAsia" w:ascii="宋体" w:hAnsi="宋体"/>
          <w:bCs/>
          <w:color w:val="auto"/>
          <w:sz w:val="28"/>
          <w:szCs w:val="28"/>
        </w:rPr>
        <w:t>▲医院病案质量评估</w:t>
      </w:r>
    </w:p>
    <w:p>
      <w:pPr>
        <w:ind w:firstLine="560" w:firstLineChars="200"/>
        <w:rPr>
          <w:rFonts w:ascii="宋体" w:hAnsi="宋体"/>
          <w:bCs/>
          <w:color w:val="auto"/>
          <w:sz w:val="28"/>
          <w:szCs w:val="28"/>
        </w:rPr>
      </w:pPr>
      <w:r>
        <w:rPr>
          <w:rFonts w:hint="eastAsia" w:ascii="宋体" w:hAnsi="宋体"/>
          <w:bCs/>
          <w:color w:val="auto"/>
          <w:sz w:val="28"/>
          <w:szCs w:val="28"/>
        </w:rPr>
        <w:t>对系统中医院病案数据进行校验、筛选和规则提醒，评估全院病案质量，达到DRG分组规范及要求，并提示相应建议。</w:t>
      </w:r>
    </w:p>
    <w:p>
      <w:pPr>
        <w:rPr>
          <w:rFonts w:ascii="宋体" w:hAnsi="宋体"/>
          <w:bCs/>
          <w:color w:val="auto"/>
          <w:sz w:val="28"/>
          <w:szCs w:val="28"/>
        </w:rPr>
      </w:pPr>
      <w:r>
        <w:rPr>
          <w:rFonts w:hint="eastAsia" w:ascii="宋体" w:hAnsi="宋体"/>
          <w:bCs/>
          <w:color w:val="auto"/>
          <w:sz w:val="28"/>
          <w:szCs w:val="28"/>
        </w:rPr>
        <w:t>★病案首页规范填写</w:t>
      </w:r>
    </w:p>
    <w:p>
      <w:pPr>
        <w:ind w:firstLine="560" w:firstLineChars="200"/>
        <w:rPr>
          <w:rFonts w:ascii="宋体" w:hAnsi="宋体"/>
          <w:bCs/>
          <w:color w:val="auto"/>
          <w:sz w:val="28"/>
          <w:szCs w:val="28"/>
        </w:rPr>
      </w:pPr>
      <w:r>
        <w:rPr>
          <w:rFonts w:hint="eastAsia" w:ascii="宋体" w:hAnsi="宋体"/>
          <w:bCs/>
          <w:color w:val="auto"/>
          <w:sz w:val="28"/>
          <w:szCs w:val="28"/>
        </w:rPr>
        <w:t>基于卫健病案首页填写规范和医保结算清单填报规范，明确了主要诊断、次要诊断、主要手术操作、次要手术操作的选择原则以及手术和操作的填报范围。对</w:t>
      </w:r>
      <w:r>
        <w:rPr>
          <w:rFonts w:hint="eastAsia" w:ascii="宋体" w:hAnsi="宋体" w:cs="Times New Roman Regular"/>
          <w:color w:val="auto"/>
          <w:kern w:val="0"/>
          <w:sz w:val="28"/>
          <w:szCs w:val="28"/>
        </w:rPr>
        <w:t>病案信息中违反病案学规则的数据予以提醒，并给出修正意见，确保医院填报的病案信息符合上报医保按DRG支付的要求。</w:t>
      </w:r>
    </w:p>
    <w:p>
      <w:pPr>
        <w:rPr>
          <w:rFonts w:ascii="宋体" w:hAnsi="宋体"/>
          <w:bCs/>
          <w:color w:val="auto"/>
          <w:sz w:val="28"/>
          <w:szCs w:val="28"/>
        </w:rPr>
      </w:pPr>
      <w:r>
        <w:rPr>
          <w:rFonts w:hint="eastAsia" w:ascii="宋体" w:hAnsi="宋体"/>
          <w:bCs/>
          <w:color w:val="auto"/>
          <w:sz w:val="28"/>
          <w:szCs w:val="28"/>
        </w:rPr>
        <w:t>医院下发资料解读</w:t>
      </w:r>
    </w:p>
    <w:p>
      <w:pPr>
        <w:ind w:firstLine="560" w:firstLineChars="200"/>
        <w:rPr>
          <w:rFonts w:ascii="宋体" w:hAnsi="宋体"/>
          <w:bCs/>
          <w:color w:val="auto"/>
          <w:sz w:val="28"/>
          <w:szCs w:val="28"/>
        </w:rPr>
      </w:pPr>
      <w:r>
        <w:rPr>
          <w:rFonts w:hint="eastAsia" w:ascii="宋体" w:hAnsi="宋体"/>
          <w:bCs/>
          <w:color w:val="auto"/>
          <w:sz w:val="28"/>
          <w:szCs w:val="28"/>
        </w:rPr>
        <w:t>协助医院对医保下发给医院的数据提供分组建议和分析解读。</w:t>
      </w:r>
    </w:p>
    <w:p>
      <w:pPr>
        <w:rPr>
          <w:rFonts w:ascii="宋体" w:hAnsi="宋体"/>
          <w:bCs/>
          <w:color w:val="auto"/>
          <w:sz w:val="28"/>
          <w:szCs w:val="28"/>
        </w:rPr>
      </w:pPr>
      <w:r>
        <w:rPr>
          <w:rFonts w:hint="eastAsia" w:ascii="宋体" w:hAnsi="宋体"/>
          <w:bCs/>
          <w:color w:val="auto"/>
          <w:sz w:val="28"/>
          <w:szCs w:val="28"/>
        </w:rPr>
        <w:t>医院病例反馈建议</w:t>
      </w:r>
    </w:p>
    <w:p>
      <w:pPr>
        <w:ind w:firstLine="560" w:firstLineChars="200"/>
        <w:rPr>
          <w:rFonts w:ascii="宋体" w:hAnsi="宋体"/>
          <w:bCs/>
          <w:color w:val="auto"/>
          <w:sz w:val="28"/>
          <w:szCs w:val="28"/>
        </w:rPr>
      </w:pPr>
      <w:r>
        <w:rPr>
          <w:rFonts w:hint="eastAsia" w:ascii="宋体" w:hAnsi="宋体"/>
          <w:bCs/>
          <w:color w:val="auto"/>
          <w:sz w:val="28"/>
          <w:szCs w:val="28"/>
        </w:rPr>
        <w:t>对可申诉的病例予以提示提醒，针对该类病例提出申诉意见和理由，辅助医院完成病例申诉工作。</w:t>
      </w:r>
    </w:p>
    <w:p>
      <w:pPr>
        <w:rPr>
          <w:rFonts w:ascii="宋体" w:hAnsi="宋体"/>
          <w:bCs/>
          <w:color w:val="auto"/>
          <w:sz w:val="28"/>
          <w:szCs w:val="28"/>
        </w:rPr>
      </w:pPr>
      <w:r>
        <w:rPr>
          <w:rFonts w:hint="eastAsia" w:ascii="宋体" w:hAnsi="宋体"/>
          <w:bCs/>
          <w:color w:val="auto"/>
          <w:sz w:val="28"/>
          <w:szCs w:val="28"/>
        </w:rPr>
        <w:t>★地区实施细则解读</w:t>
      </w:r>
    </w:p>
    <w:p>
      <w:pPr>
        <w:ind w:firstLine="560" w:firstLineChars="200"/>
        <w:rPr>
          <w:rFonts w:ascii="宋体" w:hAnsi="宋体"/>
          <w:bCs/>
          <w:color w:val="auto"/>
          <w:sz w:val="28"/>
          <w:szCs w:val="28"/>
        </w:rPr>
      </w:pPr>
      <w:r>
        <w:rPr>
          <w:rFonts w:hint="eastAsia" w:ascii="宋体" w:hAnsi="宋体"/>
          <w:bCs/>
          <w:color w:val="auto"/>
          <w:sz w:val="28"/>
          <w:szCs w:val="28"/>
        </w:rPr>
        <w:t>针对本地医保局对DRG支付改革政策的解读，以供参考。</w:t>
      </w:r>
    </w:p>
    <w:p>
      <w:pPr>
        <w:rPr>
          <w:rFonts w:ascii="宋体" w:hAnsi="宋体"/>
          <w:bCs/>
          <w:color w:val="auto"/>
          <w:sz w:val="28"/>
          <w:szCs w:val="28"/>
        </w:rPr>
      </w:pPr>
    </w:p>
    <w:p>
      <w:pPr>
        <w:rPr>
          <w:rFonts w:ascii="宋体" w:hAnsi="宋体"/>
          <w:b/>
          <w:color w:val="auto"/>
          <w:sz w:val="28"/>
          <w:szCs w:val="28"/>
        </w:rPr>
      </w:pPr>
      <w:r>
        <w:rPr>
          <w:rFonts w:hint="eastAsia" w:ascii="宋体" w:hAnsi="宋体"/>
          <w:b/>
          <w:color w:val="auto"/>
          <w:sz w:val="28"/>
          <w:szCs w:val="28"/>
        </w:rPr>
        <w:t>DRG运行</w:t>
      </w:r>
    </w:p>
    <w:p>
      <w:pPr>
        <w:rPr>
          <w:rFonts w:ascii="宋体" w:hAnsi="宋体"/>
          <w:bCs/>
          <w:color w:val="auto"/>
          <w:sz w:val="28"/>
          <w:szCs w:val="28"/>
        </w:rPr>
      </w:pPr>
      <w:r>
        <w:rPr>
          <w:rFonts w:hint="eastAsia" w:ascii="宋体" w:hAnsi="宋体"/>
          <w:bCs/>
          <w:color w:val="auto"/>
          <w:sz w:val="28"/>
          <w:szCs w:val="28"/>
        </w:rPr>
        <w:t>★月度分组及拨付分析</w:t>
      </w:r>
    </w:p>
    <w:p>
      <w:pPr>
        <w:ind w:firstLine="560" w:firstLineChars="200"/>
        <w:rPr>
          <w:rFonts w:ascii="宋体" w:hAnsi="宋体"/>
          <w:bCs/>
          <w:color w:val="auto"/>
          <w:sz w:val="28"/>
          <w:szCs w:val="28"/>
        </w:rPr>
      </w:pPr>
      <w:r>
        <w:rPr>
          <w:rFonts w:hint="eastAsia" w:ascii="宋体" w:hAnsi="宋体"/>
          <w:bCs/>
          <w:color w:val="auto"/>
          <w:sz w:val="28"/>
          <w:szCs w:val="28"/>
        </w:rPr>
        <w:t>包含总体分析和规则分析，总体分析可以从医院和科室两个角度分析每个科室填报病案的情况，规则分析可对某一个时间段内出现的规则问题进行分析。</w:t>
      </w:r>
    </w:p>
    <w:p>
      <w:pPr>
        <w:rPr>
          <w:rFonts w:ascii="宋体" w:hAnsi="宋体"/>
          <w:bCs/>
          <w:color w:val="auto"/>
          <w:sz w:val="28"/>
          <w:szCs w:val="28"/>
        </w:rPr>
      </w:pPr>
      <w:r>
        <w:rPr>
          <w:rFonts w:hint="eastAsia" w:ascii="宋体" w:hAnsi="宋体"/>
          <w:bCs/>
          <w:color w:val="auto"/>
          <w:sz w:val="28"/>
          <w:szCs w:val="28"/>
        </w:rPr>
        <w:t>★院内结算差异定位</w:t>
      </w:r>
    </w:p>
    <w:p>
      <w:pPr>
        <w:ind w:firstLine="560" w:firstLineChars="200"/>
        <w:rPr>
          <w:rFonts w:ascii="宋体" w:hAnsi="宋体"/>
          <w:bCs/>
          <w:color w:val="auto"/>
          <w:sz w:val="28"/>
          <w:szCs w:val="28"/>
        </w:rPr>
      </w:pPr>
      <w:r>
        <w:rPr>
          <w:rFonts w:hint="eastAsia" w:ascii="宋体" w:hAnsi="宋体"/>
          <w:bCs/>
          <w:color w:val="auto"/>
          <w:sz w:val="28"/>
          <w:szCs w:val="28"/>
        </w:rPr>
        <w:t>通过统计计算对医院和每个科室结算差异进行定位分析。包括科室或是超支、结余情况，住院总费用的变化，次均费用的变化，费用结构的变化。</w:t>
      </w:r>
    </w:p>
    <w:p>
      <w:pPr>
        <w:rPr>
          <w:rFonts w:ascii="宋体" w:hAnsi="宋体"/>
          <w:bCs/>
          <w:color w:val="auto"/>
          <w:sz w:val="28"/>
          <w:szCs w:val="28"/>
        </w:rPr>
      </w:pPr>
      <w:r>
        <w:rPr>
          <w:rFonts w:hint="eastAsia" w:ascii="宋体" w:hAnsi="宋体"/>
          <w:bCs/>
          <w:color w:val="auto"/>
          <w:sz w:val="28"/>
          <w:szCs w:val="28"/>
        </w:rPr>
        <w:t>▲病例DRG申诉建议</w:t>
      </w:r>
    </w:p>
    <w:p>
      <w:pPr>
        <w:ind w:firstLine="560" w:firstLineChars="200"/>
        <w:rPr>
          <w:rFonts w:ascii="宋体" w:hAnsi="宋体"/>
          <w:bCs/>
          <w:color w:val="auto"/>
          <w:sz w:val="28"/>
          <w:szCs w:val="28"/>
        </w:rPr>
      </w:pPr>
      <w:r>
        <w:rPr>
          <w:rFonts w:hint="eastAsia" w:ascii="宋体" w:hAnsi="宋体"/>
          <w:bCs/>
          <w:color w:val="auto"/>
          <w:sz w:val="28"/>
          <w:szCs w:val="28"/>
        </w:rPr>
        <w:t>对可申诉的病例予以提示提醒，针对该类病例提出申诉意见和理由，辅助医院完成病例申诉工作。</w:t>
      </w:r>
    </w:p>
    <w:p>
      <w:pPr>
        <w:rPr>
          <w:rFonts w:ascii="宋体" w:hAnsi="宋体"/>
          <w:bCs/>
          <w:color w:val="auto"/>
          <w:sz w:val="28"/>
          <w:szCs w:val="28"/>
        </w:rPr>
      </w:pPr>
      <w:r>
        <w:rPr>
          <w:rFonts w:hint="eastAsia" w:ascii="宋体" w:hAnsi="宋体"/>
          <w:bCs/>
          <w:color w:val="auto"/>
          <w:sz w:val="28"/>
          <w:szCs w:val="28"/>
        </w:rPr>
        <w:t>★院内运营管理策略</w:t>
      </w:r>
    </w:p>
    <w:p>
      <w:pPr>
        <w:ind w:firstLine="560" w:firstLineChars="200"/>
        <w:rPr>
          <w:rFonts w:ascii="宋体" w:hAnsi="宋体"/>
          <w:bCs/>
          <w:color w:val="auto"/>
          <w:sz w:val="28"/>
          <w:szCs w:val="28"/>
        </w:rPr>
      </w:pPr>
      <w:r>
        <w:rPr>
          <w:rFonts w:hint="eastAsia" w:ascii="宋体" w:hAnsi="宋体"/>
          <w:bCs/>
          <w:color w:val="auto"/>
          <w:sz w:val="28"/>
          <w:szCs w:val="28"/>
        </w:rPr>
        <w:t>针对DRG相关指标进行监控预警，包括诊断和手术的填报率、填报质量、推诿重症预警、拆单控费预警，避免风险出现。</w:t>
      </w:r>
    </w:p>
    <w:p>
      <w:pPr>
        <w:rPr>
          <w:rFonts w:ascii="宋体" w:hAnsi="宋体"/>
          <w:bCs/>
          <w:color w:val="auto"/>
          <w:sz w:val="28"/>
          <w:szCs w:val="28"/>
        </w:rPr>
      </w:pPr>
      <w:r>
        <w:rPr>
          <w:rFonts w:hint="eastAsia" w:ascii="宋体" w:hAnsi="宋体"/>
          <w:bCs/>
          <w:color w:val="auto"/>
          <w:sz w:val="28"/>
          <w:szCs w:val="28"/>
        </w:rPr>
        <w:t>★DRG绩效分析</w:t>
      </w:r>
    </w:p>
    <w:p>
      <w:pPr>
        <w:ind w:firstLine="280" w:firstLineChars="100"/>
        <w:rPr>
          <w:rFonts w:ascii="宋体" w:hAnsi="宋体"/>
          <w:bCs/>
          <w:color w:val="auto"/>
          <w:sz w:val="28"/>
          <w:szCs w:val="28"/>
        </w:rPr>
      </w:pPr>
      <w:r>
        <w:rPr>
          <w:rFonts w:hint="eastAsia" w:ascii="宋体" w:hAnsi="宋体"/>
          <w:bCs/>
          <w:color w:val="auto"/>
          <w:sz w:val="28"/>
          <w:szCs w:val="28"/>
        </w:rPr>
        <w:t>提供两种方案，工作量法和综合评价法。工作量法是指单个科室在一段时间内看的病例数量和治疗总费用的情况。综合评价法通过DRG服务广度、服务难度（CMI值）、服务效率等反向来评价。</w:t>
      </w:r>
    </w:p>
    <w:p>
      <w:pPr>
        <w:pStyle w:val="4"/>
        <w:rPr>
          <w:rFonts w:ascii="宋体" w:hAnsi="宋体" w:eastAsia="宋体"/>
          <w:color w:val="auto"/>
          <w:sz w:val="28"/>
          <w:szCs w:val="28"/>
        </w:rPr>
      </w:pPr>
      <w:r>
        <w:rPr>
          <w:rFonts w:ascii="宋体" w:hAnsi="宋体" w:eastAsia="宋体"/>
          <w:color w:val="auto"/>
          <w:sz w:val="28"/>
          <w:szCs w:val="28"/>
        </w:rPr>
        <w:t>项目实施计划与周期</w:t>
      </w:r>
      <w:bookmarkEnd w:id="4"/>
    </w:p>
    <w:p>
      <w:pPr>
        <w:ind w:firstLine="560"/>
        <w:rPr>
          <w:rFonts w:ascii="宋体" w:hAnsi="宋体"/>
          <w:color w:val="auto"/>
          <w:sz w:val="28"/>
          <w:szCs w:val="28"/>
        </w:rPr>
      </w:pPr>
      <w:r>
        <w:rPr>
          <w:rFonts w:ascii="宋体" w:hAnsi="宋体"/>
          <w:color w:val="auto"/>
          <w:sz w:val="28"/>
          <w:szCs w:val="28"/>
        </w:rPr>
        <w:t>要求本次</w:t>
      </w:r>
      <w:r>
        <w:rPr>
          <w:rFonts w:hint="eastAsia" w:ascii="宋体" w:hAnsi="宋体"/>
          <w:color w:val="auto"/>
          <w:sz w:val="28"/>
          <w:szCs w:val="28"/>
        </w:rPr>
        <w:t>涉及的</w:t>
      </w:r>
      <w:r>
        <w:rPr>
          <w:rFonts w:ascii="宋体" w:hAnsi="宋体"/>
          <w:color w:val="auto"/>
          <w:sz w:val="28"/>
          <w:szCs w:val="28"/>
        </w:rPr>
        <w:t>所有系统软件在</w:t>
      </w:r>
      <w:r>
        <w:rPr>
          <w:rFonts w:hint="eastAsia" w:ascii="宋体" w:hAnsi="宋体"/>
          <w:color w:val="auto"/>
          <w:sz w:val="28"/>
          <w:szCs w:val="28"/>
        </w:rPr>
        <w:t>2</w:t>
      </w:r>
      <w:r>
        <w:rPr>
          <w:rFonts w:ascii="宋体" w:hAnsi="宋体"/>
          <w:color w:val="auto"/>
          <w:sz w:val="28"/>
          <w:szCs w:val="28"/>
        </w:rPr>
        <w:t>个月上线，每个系统上线稳定运行</w:t>
      </w:r>
      <w:r>
        <w:rPr>
          <w:rFonts w:hint="eastAsia" w:ascii="宋体" w:hAnsi="宋体"/>
          <w:color w:val="auto"/>
          <w:sz w:val="28"/>
          <w:szCs w:val="28"/>
        </w:rPr>
        <w:t>半</w:t>
      </w:r>
      <w:r>
        <w:rPr>
          <w:rFonts w:ascii="宋体" w:hAnsi="宋体"/>
          <w:color w:val="auto"/>
          <w:sz w:val="28"/>
          <w:szCs w:val="28"/>
        </w:rPr>
        <w:t>个月后可单独验收，全部系统软件验收须在</w:t>
      </w:r>
      <w:r>
        <w:rPr>
          <w:rFonts w:hint="eastAsia" w:ascii="宋体" w:hAnsi="宋体"/>
          <w:color w:val="auto"/>
          <w:sz w:val="28"/>
          <w:szCs w:val="28"/>
        </w:rPr>
        <w:t>2</w:t>
      </w:r>
      <w:r>
        <w:rPr>
          <w:rFonts w:ascii="宋体" w:hAnsi="宋体"/>
          <w:color w:val="auto"/>
          <w:sz w:val="28"/>
          <w:szCs w:val="28"/>
        </w:rPr>
        <w:t>个月内完成。要求上线系统按月提出项目进度计划和时间安排</w:t>
      </w:r>
      <w:r>
        <w:rPr>
          <w:rFonts w:hint="eastAsia" w:ascii="宋体" w:hAnsi="宋体"/>
          <w:color w:val="auto"/>
          <w:sz w:val="28"/>
          <w:szCs w:val="28"/>
        </w:rPr>
        <w:t>。</w:t>
      </w:r>
    </w:p>
    <w:p>
      <w:pPr>
        <w:pStyle w:val="4"/>
        <w:rPr>
          <w:rFonts w:ascii="宋体" w:hAnsi="宋体" w:eastAsia="宋体" w:cs="Times New Roman Regular"/>
          <w:color w:val="auto"/>
          <w:sz w:val="28"/>
          <w:szCs w:val="28"/>
        </w:rPr>
      </w:pPr>
      <w:r>
        <w:rPr>
          <w:rFonts w:ascii="宋体" w:hAnsi="宋体" w:eastAsia="宋体" w:cs="Times New Roman Regular"/>
          <w:color w:val="auto"/>
          <w:sz w:val="28"/>
          <w:szCs w:val="28"/>
        </w:rPr>
        <w:t>项目售后服务要求</w:t>
      </w:r>
    </w:p>
    <w:p>
      <w:pPr>
        <w:pStyle w:val="18"/>
        <w:ind w:left="0" w:leftChars="0" w:firstLine="560" w:firstLineChars="200"/>
        <w:rPr>
          <w:rFonts w:ascii="宋体" w:hAnsi="宋体" w:cs="Times New Roman Regular"/>
          <w:color w:val="auto"/>
          <w:kern w:val="0"/>
          <w:sz w:val="28"/>
          <w:szCs w:val="28"/>
        </w:rPr>
      </w:pPr>
      <w:r>
        <w:rPr>
          <w:rFonts w:ascii="宋体" w:hAnsi="宋体" w:cs="Times New Roman Regular"/>
          <w:color w:val="auto"/>
          <w:sz w:val="28"/>
          <w:szCs w:val="28"/>
        </w:rPr>
        <w:t>1</w:t>
      </w:r>
      <w:r>
        <w:rPr>
          <w:rFonts w:ascii="宋体" w:hAnsi="宋体" w:cs="Times New Roman Regular"/>
          <w:color w:val="auto"/>
          <w:kern w:val="0"/>
          <w:sz w:val="28"/>
          <w:szCs w:val="28"/>
        </w:rPr>
        <w:t>）免费维护期</w:t>
      </w:r>
      <w:r>
        <w:rPr>
          <w:rFonts w:hint="eastAsia" w:ascii="宋体" w:hAnsi="宋体" w:cs="Times New Roman Regular"/>
          <w:color w:val="auto"/>
          <w:kern w:val="0"/>
          <w:sz w:val="28"/>
          <w:szCs w:val="28"/>
        </w:rPr>
        <w:t>三</w:t>
      </w:r>
      <w:r>
        <w:rPr>
          <w:rFonts w:ascii="宋体" w:hAnsi="宋体" w:cs="Times New Roman Regular"/>
          <w:color w:val="auto"/>
          <w:kern w:val="0"/>
          <w:sz w:val="28"/>
          <w:szCs w:val="28"/>
        </w:rPr>
        <w:t>年，免费维护期内，本合同项目所有技术和服务发生任何非人为故障，由供应商负责系统恢复。故障报修的响应时间为即时，到达现场的时间为4小时，小型故障恢复时间为4个小时，严重故障恢复时间为24小时内，并及时有效的提供解决方案。</w:t>
      </w:r>
    </w:p>
    <w:p>
      <w:pPr>
        <w:pStyle w:val="18"/>
        <w:ind w:left="0" w:leftChars="0" w:firstLine="560" w:firstLineChars="200"/>
        <w:rPr>
          <w:rFonts w:ascii="宋体" w:hAnsi="宋体" w:cs="Times New Roman Regular"/>
          <w:color w:val="auto"/>
          <w:kern w:val="0"/>
          <w:sz w:val="28"/>
          <w:szCs w:val="28"/>
        </w:rPr>
      </w:pPr>
      <w:r>
        <w:rPr>
          <w:rFonts w:ascii="宋体" w:hAnsi="宋体" w:cs="Times New Roman Regular"/>
          <w:color w:val="auto"/>
          <w:kern w:val="0"/>
          <w:sz w:val="28"/>
          <w:szCs w:val="28"/>
        </w:rPr>
        <w:t>2）免费维护期内，对采购人提出的</w:t>
      </w:r>
      <w:r>
        <w:rPr>
          <w:rFonts w:hint="eastAsia" w:ascii="宋体" w:hAnsi="宋体" w:cs="Times New Roman Regular"/>
          <w:color w:val="auto"/>
          <w:kern w:val="0"/>
          <w:sz w:val="28"/>
          <w:szCs w:val="28"/>
        </w:rPr>
        <w:t>产品功能清单内的</w:t>
      </w:r>
      <w:r>
        <w:rPr>
          <w:rFonts w:ascii="宋体" w:hAnsi="宋体" w:cs="Times New Roman Regular"/>
          <w:color w:val="auto"/>
          <w:kern w:val="0"/>
          <w:sz w:val="28"/>
          <w:szCs w:val="28"/>
        </w:rPr>
        <w:t>要求，供应商必须即时进行电话、邮件及远程网络支持，并在4小时内到场服务。如不到场，采购人有权自行处理，相关费用由供应商负责。</w:t>
      </w:r>
    </w:p>
    <w:p>
      <w:pPr>
        <w:pStyle w:val="18"/>
        <w:ind w:left="0" w:leftChars="0" w:firstLine="560" w:firstLineChars="200"/>
        <w:rPr>
          <w:rFonts w:ascii="宋体" w:hAnsi="宋体"/>
          <w:color w:val="auto"/>
          <w:sz w:val="28"/>
          <w:szCs w:val="28"/>
        </w:rPr>
      </w:pPr>
      <w:r>
        <w:rPr>
          <w:rFonts w:ascii="宋体" w:hAnsi="宋体" w:cs="Times New Roman Regular"/>
          <w:color w:val="auto"/>
          <w:kern w:val="0"/>
          <w:sz w:val="28"/>
          <w:szCs w:val="28"/>
        </w:rPr>
        <w:t>3）供应商需提供定期回访服务，对采购人提出的合理优化建议应提供免费升级服务。</w:t>
      </w:r>
    </w:p>
    <w:p>
      <w:pPr>
        <w:pStyle w:val="4"/>
        <w:rPr>
          <w:rFonts w:ascii="宋体" w:hAnsi="宋体" w:eastAsia="宋体"/>
          <w:color w:val="auto"/>
          <w:sz w:val="28"/>
          <w:szCs w:val="28"/>
        </w:rPr>
      </w:pPr>
      <w:r>
        <w:rPr>
          <w:rFonts w:hint="eastAsia" w:ascii="宋体" w:hAnsi="宋体" w:eastAsia="宋体"/>
          <w:color w:val="auto"/>
          <w:sz w:val="28"/>
          <w:szCs w:val="28"/>
        </w:rPr>
        <w:t>保密要求</w:t>
      </w:r>
    </w:p>
    <w:p>
      <w:pPr>
        <w:ind w:firstLine="560"/>
        <w:rPr>
          <w:rFonts w:ascii="宋体" w:hAnsi="宋体"/>
          <w:color w:val="auto"/>
          <w:sz w:val="28"/>
          <w:szCs w:val="28"/>
        </w:rPr>
      </w:pPr>
      <w:r>
        <w:rPr>
          <w:rFonts w:hint="eastAsia" w:ascii="宋体" w:hAnsi="宋体"/>
          <w:color w:val="auto"/>
          <w:sz w:val="28"/>
          <w:szCs w:val="28"/>
        </w:rPr>
        <w:t>供应商及工作人员应对本项目提供的有关专业数据、医院运作方式采取保密措施，严格遵守采购人保密要求，不得向其他第三方披露、复制，对本项目提供的所有文档资料保密，不得对外进行扩散。如有违反本保密规定的，应承担相应法律责任。</w:t>
      </w:r>
    </w:p>
    <w:p>
      <w:pPr>
        <w:pStyle w:val="18"/>
        <w:ind w:left="1040" w:hanging="560"/>
        <w:rPr>
          <w:rFonts w:ascii="宋体" w:hAnsi="宋体"/>
          <w:color w:val="auto"/>
          <w:sz w:val="28"/>
          <w:szCs w:val="28"/>
        </w:rPr>
      </w:pPr>
    </w:p>
    <w:p>
      <w:pPr>
        <w:pStyle w:val="18"/>
        <w:ind w:left="0" w:leftChars="0" w:firstLine="0" w:firstLineChars="0"/>
        <w:rPr>
          <w:rFonts w:ascii="宋体" w:hAnsi="宋体"/>
          <w:color w:val="auto"/>
          <w:sz w:val="28"/>
          <w:szCs w:val="28"/>
        </w:rPr>
      </w:pPr>
    </w:p>
    <w:sectPr>
      <w:pgSz w:w="11907" w:h="16840"/>
      <w:pgMar w:top="1418" w:right="1701" w:bottom="1134" w:left="1701"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pStyle w:val="13"/>
      <w:lvlText w:val="%1."/>
      <w:lvlJc w:val="left"/>
      <w:pPr>
        <w:tabs>
          <w:tab w:val="left" w:pos="147"/>
        </w:tabs>
        <w:ind w:left="147" w:hanging="425"/>
      </w:pPr>
      <w:rPr>
        <w:rFonts w:ascii="Times New Roman" w:hAnsi="Times New Roman" w:eastAsia="Times New Roman" w:cs="Times New Roman"/>
      </w:rPr>
    </w:lvl>
    <w:lvl w:ilvl="1" w:tentative="0">
      <w:start w:val="1"/>
      <w:numFmt w:val="decimal"/>
      <w:lvlText w:val="%1.%2."/>
      <w:lvlJc w:val="left"/>
      <w:pPr>
        <w:tabs>
          <w:tab w:val="left" w:pos="289"/>
        </w:tabs>
        <w:ind w:left="289" w:hanging="567"/>
      </w:pPr>
    </w:lvl>
    <w:lvl w:ilvl="2" w:tentative="0">
      <w:start w:val="1"/>
      <w:numFmt w:val="decimal"/>
      <w:lvlText w:val="%1.%2.%3."/>
      <w:lvlJc w:val="left"/>
      <w:pPr>
        <w:tabs>
          <w:tab w:val="left" w:pos="431"/>
        </w:tabs>
        <w:ind w:left="431" w:hanging="709"/>
      </w:pPr>
    </w:lvl>
    <w:lvl w:ilvl="3" w:tentative="0">
      <w:start w:val="1"/>
      <w:numFmt w:val="decimal"/>
      <w:lvlText w:val="%1.%2.%3.%4."/>
      <w:lvlJc w:val="left"/>
      <w:pPr>
        <w:tabs>
          <w:tab w:val="left" w:pos="573"/>
        </w:tabs>
        <w:ind w:left="573" w:hanging="851"/>
      </w:pPr>
    </w:lvl>
    <w:lvl w:ilvl="4" w:tentative="0">
      <w:start w:val="1"/>
      <w:numFmt w:val="decimal"/>
      <w:lvlText w:val="%1.%2.%3.%4.%5."/>
      <w:lvlJc w:val="left"/>
      <w:pPr>
        <w:tabs>
          <w:tab w:val="left" w:pos="714"/>
        </w:tabs>
        <w:ind w:left="714" w:hanging="992"/>
      </w:pPr>
    </w:lvl>
    <w:lvl w:ilvl="5" w:tentative="0">
      <w:start w:val="1"/>
      <w:numFmt w:val="decimal"/>
      <w:lvlText w:val="%1.%2.%3.%4.%5.%6."/>
      <w:lvlJc w:val="left"/>
      <w:pPr>
        <w:tabs>
          <w:tab w:val="left" w:pos="856"/>
        </w:tabs>
        <w:ind w:left="856" w:hanging="1134"/>
      </w:pPr>
    </w:lvl>
    <w:lvl w:ilvl="6" w:tentative="0">
      <w:start w:val="1"/>
      <w:numFmt w:val="decimal"/>
      <w:lvlText w:val="%1.%2.%3.%4.%5.%6.%7."/>
      <w:lvlJc w:val="left"/>
      <w:pPr>
        <w:tabs>
          <w:tab w:val="left" w:pos="998"/>
        </w:tabs>
        <w:ind w:left="998" w:hanging="1276"/>
      </w:pPr>
    </w:lvl>
    <w:lvl w:ilvl="7" w:tentative="0">
      <w:start w:val="1"/>
      <w:numFmt w:val="decimal"/>
      <w:lvlText w:val="%1.%2.%3.%4.%5.%6.%7.%8."/>
      <w:lvlJc w:val="left"/>
      <w:pPr>
        <w:tabs>
          <w:tab w:val="left" w:pos="1140"/>
        </w:tabs>
        <w:ind w:left="1140" w:hanging="1418"/>
      </w:pPr>
    </w:lvl>
    <w:lvl w:ilvl="8" w:tentative="0">
      <w:start w:val="1"/>
      <w:numFmt w:val="decimal"/>
      <w:lvlText w:val="%1.%2.%3.%4.%5.%6.%7.%8.%9."/>
      <w:lvlJc w:val="left"/>
      <w:pPr>
        <w:tabs>
          <w:tab w:val="left" w:pos="1281"/>
        </w:tabs>
        <w:ind w:left="1281"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6"/>
  <w:displayVerticalDrawingGridEvery w:val="2"/>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2B"/>
    <w:rsid w:val="0000329B"/>
    <w:rsid w:val="00004BF7"/>
    <w:rsid w:val="000061F4"/>
    <w:rsid w:val="0000650C"/>
    <w:rsid w:val="0000728A"/>
    <w:rsid w:val="0001467F"/>
    <w:rsid w:val="00023150"/>
    <w:rsid w:val="00023A1A"/>
    <w:rsid w:val="00024674"/>
    <w:rsid w:val="0002549D"/>
    <w:rsid w:val="000256F7"/>
    <w:rsid w:val="000265D8"/>
    <w:rsid w:val="00031DB7"/>
    <w:rsid w:val="00033062"/>
    <w:rsid w:val="00034CC6"/>
    <w:rsid w:val="000400E3"/>
    <w:rsid w:val="0004077F"/>
    <w:rsid w:val="000467FF"/>
    <w:rsid w:val="0005214B"/>
    <w:rsid w:val="00055D30"/>
    <w:rsid w:val="00062639"/>
    <w:rsid w:val="00063788"/>
    <w:rsid w:val="0007486C"/>
    <w:rsid w:val="0007597B"/>
    <w:rsid w:val="0007746D"/>
    <w:rsid w:val="00082E00"/>
    <w:rsid w:val="00083D93"/>
    <w:rsid w:val="00085ACF"/>
    <w:rsid w:val="000925CD"/>
    <w:rsid w:val="000A00E0"/>
    <w:rsid w:val="000A14C0"/>
    <w:rsid w:val="000A3C90"/>
    <w:rsid w:val="000A551C"/>
    <w:rsid w:val="000A758A"/>
    <w:rsid w:val="000B19BE"/>
    <w:rsid w:val="000B413F"/>
    <w:rsid w:val="000B5C34"/>
    <w:rsid w:val="000B696C"/>
    <w:rsid w:val="000B740C"/>
    <w:rsid w:val="000C09A3"/>
    <w:rsid w:val="000C18E8"/>
    <w:rsid w:val="000C2B8C"/>
    <w:rsid w:val="000C35CE"/>
    <w:rsid w:val="000C39F0"/>
    <w:rsid w:val="000C7EF7"/>
    <w:rsid w:val="000D29EC"/>
    <w:rsid w:val="000D2DD7"/>
    <w:rsid w:val="000D410C"/>
    <w:rsid w:val="000D474F"/>
    <w:rsid w:val="000D7C01"/>
    <w:rsid w:val="000E2A49"/>
    <w:rsid w:val="000E5200"/>
    <w:rsid w:val="000E6EED"/>
    <w:rsid w:val="000F038A"/>
    <w:rsid w:val="000F146E"/>
    <w:rsid w:val="000F6ED1"/>
    <w:rsid w:val="001018C9"/>
    <w:rsid w:val="001033C9"/>
    <w:rsid w:val="00103F79"/>
    <w:rsid w:val="00104098"/>
    <w:rsid w:val="00106512"/>
    <w:rsid w:val="00106582"/>
    <w:rsid w:val="0010783F"/>
    <w:rsid w:val="001140F8"/>
    <w:rsid w:val="001144AD"/>
    <w:rsid w:val="00116B36"/>
    <w:rsid w:val="00120577"/>
    <w:rsid w:val="00120623"/>
    <w:rsid w:val="00126E8D"/>
    <w:rsid w:val="0012745B"/>
    <w:rsid w:val="00127B64"/>
    <w:rsid w:val="00131981"/>
    <w:rsid w:val="00131A44"/>
    <w:rsid w:val="00131ABC"/>
    <w:rsid w:val="001328F9"/>
    <w:rsid w:val="001357D0"/>
    <w:rsid w:val="001369C6"/>
    <w:rsid w:val="00137354"/>
    <w:rsid w:val="00141E34"/>
    <w:rsid w:val="00143489"/>
    <w:rsid w:val="00145E72"/>
    <w:rsid w:val="001469D7"/>
    <w:rsid w:val="00147414"/>
    <w:rsid w:val="00150F12"/>
    <w:rsid w:val="001534F5"/>
    <w:rsid w:val="001545C8"/>
    <w:rsid w:val="00155841"/>
    <w:rsid w:val="00155EF1"/>
    <w:rsid w:val="001629A4"/>
    <w:rsid w:val="0016485A"/>
    <w:rsid w:val="00165B34"/>
    <w:rsid w:val="00165FAF"/>
    <w:rsid w:val="001702B6"/>
    <w:rsid w:val="001718D8"/>
    <w:rsid w:val="00172580"/>
    <w:rsid w:val="00172A27"/>
    <w:rsid w:val="00176546"/>
    <w:rsid w:val="0017782A"/>
    <w:rsid w:val="00181D0D"/>
    <w:rsid w:val="001823AD"/>
    <w:rsid w:val="00185C95"/>
    <w:rsid w:val="0019002E"/>
    <w:rsid w:val="001908C4"/>
    <w:rsid w:val="00191976"/>
    <w:rsid w:val="0019545E"/>
    <w:rsid w:val="00197767"/>
    <w:rsid w:val="001A5C69"/>
    <w:rsid w:val="001A6B8C"/>
    <w:rsid w:val="001A6E75"/>
    <w:rsid w:val="001A7773"/>
    <w:rsid w:val="001A7EE9"/>
    <w:rsid w:val="001B506E"/>
    <w:rsid w:val="001B7C38"/>
    <w:rsid w:val="001C23BB"/>
    <w:rsid w:val="001C4376"/>
    <w:rsid w:val="001C4887"/>
    <w:rsid w:val="001C5EAA"/>
    <w:rsid w:val="001C7F2F"/>
    <w:rsid w:val="001D2BA2"/>
    <w:rsid w:val="001D4D38"/>
    <w:rsid w:val="001D5360"/>
    <w:rsid w:val="001D70A7"/>
    <w:rsid w:val="001E012C"/>
    <w:rsid w:val="001E10A1"/>
    <w:rsid w:val="001E431E"/>
    <w:rsid w:val="001E45F4"/>
    <w:rsid w:val="001E5F0A"/>
    <w:rsid w:val="001E76FE"/>
    <w:rsid w:val="001F00D5"/>
    <w:rsid w:val="001F3A0F"/>
    <w:rsid w:val="001F3CB9"/>
    <w:rsid w:val="001F3EF6"/>
    <w:rsid w:val="001F52BD"/>
    <w:rsid w:val="001F5FFC"/>
    <w:rsid w:val="001F6708"/>
    <w:rsid w:val="001F7164"/>
    <w:rsid w:val="00201ACB"/>
    <w:rsid w:val="002024CF"/>
    <w:rsid w:val="0020320A"/>
    <w:rsid w:val="002038D1"/>
    <w:rsid w:val="0020410A"/>
    <w:rsid w:val="002045DB"/>
    <w:rsid w:val="0020600D"/>
    <w:rsid w:val="00206E2A"/>
    <w:rsid w:val="00212DA8"/>
    <w:rsid w:val="0021399F"/>
    <w:rsid w:val="00215331"/>
    <w:rsid w:val="00215AB8"/>
    <w:rsid w:val="0021714E"/>
    <w:rsid w:val="002212B4"/>
    <w:rsid w:val="00221D3C"/>
    <w:rsid w:val="0022520E"/>
    <w:rsid w:val="00225ECB"/>
    <w:rsid w:val="002336C5"/>
    <w:rsid w:val="00233A59"/>
    <w:rsid w:val="002359C0"/>
    <w:rsid w:val="0024037B"/>
    <w:rsid w:val="0024100C"/>
    <w:rsid w:val="00242A53"/>
    <w:rsid w:val="00243A92"/>
    <w:rsid w:val="00253EC9"/>
    <w:rsid w:val="00257127"/>
    <w:rsid w:val="00257EA3"/>
    <w:rsid w:val="00261334"/>
    <w:rsid w:val="002652F6"/>
    <w:rsid w:val="00267F7F"/>
    <w:rsid w:val="002726C7"/>
    <w:rsid w:val="002738ED"/>
    <w:rsid w:val="0027429A"/>
    <w:rsid w:val="00280781"/>
    <w:rsid w:val="00282310"/>
    <w:rsid w:val="0028320B"/>
    <w:rsid w:val="0028441E"/>
    <w:rsid w:val="00284D55"/>
    <w:rsid w:val="00284FEB"/>
    <w:rsid w:val="00285492"/>
    <w:rsid w:val="0028582C"/>
    <w:rsid w:val="002928F6"/>
    <w:rsid w:val="002939EA"/>
    <w:rsid w:val="00297A67"/>
    <w:rsid w:val="002A0D16"/>
    <w:rsid w:val="002A1F8F"/>
    <w:rsid w:val="002A560A"/>
    <w:rsid w:val="002A7416"/>
    <w:rsid w:val="002B0767"/>
    <w:rsid w:val="002B2E3F"/>
    <w:rsid w:val="002B32AE"/>
    <w:rsid w:val="002B7AF0"/>
    <w:rsid w:val="002C1FDE"/>
    <w:rsid w:val="002C2823"/>
    <w:rsid w:val="002C29AE"/>
    <w:rsid w:val="002D2623"/>
    <w:rsid w:val="002D3AFD"/>
    <w:rsid w:val="002D6A47"/>
    <w:rsid w:val="002D7CC5"/>
    <w:rsid w:val="002E4D44"/>
    <w:rsid w:val="002E50B8"/>
    <w:rsid w:val="002E5F55"/>
    <w:rsid w:val="002E6585"/>
    <w:rsid w:val="002E7C90"/>
    <w:rsid w:val="002F168D"/>
    <w:rsid w:val="002F4F90"/>
    <w:rsid w:val="002F54C6"/>
    <w:rsid w:val="002F7ED7"/>
    <w:rsid w:val="00304E85"/>
    <w:rsid w:val="00305371"/>
    <w:rsid w:val="003057CF"/>
    <w:rsid w:val="00306130"/>
    <w:rsid w:val="003070C2"/>
    <w:rsid w:val="003164E5"/>
    <w:rsid w:val="003173E9"/>
    <w:rsid w:val="003204CE"/>
    <w:rsid w:val="00323244"/>
    <w:rsid w:val="003260EF"/>
    <w:rsid w:val="0032665B"/>
    <w:rsid w:val="00327D59"/>
    <w:rsid w:val="00327E55"/>
    <w:rsid w:val="003330F4"/>
    <w:rsid w:val="00334333"/>
    <w:rsid w:val="00337825"/>
    <w:rsid w:val="003379CA"/>
    <w:rsid w:val="00337A04"/>
    <w:rsid w:val="00342930"/>
    <w:rsid w:val="00342EC2"/>
    <w:rsid w:val="00345B6E"/>
    <w:rsid w:val="003517C4"/>
    <w:rsid w:val="00356999"/>
    <w:rsid w:val="00374273"/>
    <w:rsid w:val="003746C9"/>
    <w:rsid w:val="00376B7C"/>
    <w:rsid w:val="00377533"/>
    <w:rsid w:val="00377B5A"/>
    <w:rsid w:val="003851EA"/>
    <w:rsid w:val="0038561D"/>
    <w:rsid w:val="00386144"/>
    <w:rsid w:val="00386A3C"/>
    <w:rsid w:val="003905AB"/>
    <w:rsid w:val="00391A7B"/>
    <w:rsid w:val="003950A0"/>
    <w:rsid w:val="003A05FA"/>
    <w:rsid w:val="003A10DB"/>
    <w:rsid w:val="003A1A63"/>
    <w:rsid w:val="003A4D58"/>
    <w:rsid w:val="003B0FF0"/>
    <w:rsid w:val="003B3E16"/>
    <w:rsid w:val="003C157D"/>
    <w:rsid w:val="003C3C6B"/>
    <w:rsid w:val="003C71A7"/>
    <w:rsid w:val="003D2873"/>
    <w:rsid w:val="003D4567"/>
    <w:rsid w:val="003D688D"/>
    <w:rsid w:val="003E0B36"/>
    <w:rsid w:val="003E0D1C"/>
    <w:rsid w:val="003E345E"/>
    <w:rsid w:val="003E3841"/>
    <w:rsid w:val="003E3BCF"/>
    <w:rsid w:val="003E5CC0"/>
    <w:rsid w:val="003E5EFA"/>
    <w:rsid w:val="003F1C52"/>
    <w:rsid w:val="003F3319"/>
    <w:rsid w:val="003F3F5F"/>
    <w:rsid w:val="003F5BEB"/>
    <w:rsid w:val="003F6BBE"/>
    <w:rsid w:val="0040013D"/>
    <w:rsid w:val="00402FF6"/>
    <w:rsid w:val="0040477A"/>
    <w:rsid w:val="004114B5"/>
    <w:rsid w:val="00411A50"/>
    <w:rsid w:val="0041314D"/>
    <w:rsid w:val="00413DC0"/>
    <w:rsid w:val="00414358"/>
    <w:rsid w:val="004148F9"/>
    <w:rsid w:val="004172C9"/>
    <w:rsid w:val="00417E65"/>
    <w:rsid w:val="004210B2"/>
    <w:rsid w:val="00424DEE"/>
    <w:rsid w:val="00426648"/>
    <w:rsid w:val="00433E89"/>
    <w:rsid w:val="0043451E"/>
    <w:rsid w:val="00435886"/>
    <w:rsid w:val="0043733C"/>
    <w:rsid w:val="0043754A"/>
    <w:rsid w:val="00440EFA"/>
    <w:rsid w:val="00442A31"/>
    <w:rsid w:val="00447C73"/>
    <w:rsid w:val="00447FE3"/>
    <w:rsid w:val="004504C6"/>
    <w:rsid w:val="0045150B"/>
    <w:rsid w:val="0045492B"/>
    <w:rsid w:val="00454A47"/>
    <w:rsid w:val="004624B0"/>
    <w:rsid w:val="0046266B"/>
    <w:rsid w:val="00464EC6"/>
    <w:rsid w:val="00465858"/>
    <w:rsid w:val="004674F0"/>
    <w:rsid w:val="004701C3"/>
    <w:rsid w:val="00471FCE"/>
    <w:rsid w:val="00474DE1"/>
    <w:rsid w:val="004826F7"/>
    <w:rsid w:val="00484915"/>
    <w:rsid w:val="00484EB8"/>
    <w:rsid w:val="004909D4"/>
    <w:rsid w:val="004911B0"/>
    <w:rsid w:val="004939BA"/>
    <w:rsid w:val="0049754F"/>
    <w:rsid w:val="00497F32"/>
    <w:rsid w:val="004A1B95"/>
    <w:rsid w:val="004A452E"/>
    <w:rsid w:val="004A4BED"/>
    <w:rsid w:val="004A551D"/>
    <w:rsid w:val="004B1A27"/>
    <w:rsid w:val="004B6C3C"/>
    <w:rsid w:val="004B7776"/>
    <w:rsid w:val="004C0593"/>
    <w:rsid w:val="004C0FD6"/>
    <w:rsid w:val="004C1CA8"/>
    <w:rsid w:val="004C74E4"/>
    <w:rsid w:val="004D1A4E"/>
    <w:rsid w:val="004D3F57"/>
    <w:rsid w:val="004D650B"/>
    <w:rsid w:val="004D7F76"/>
    <w:rsid w:val="004E064E"/>
    <w:rsid w:val="004E157A"/>
    <w:rsid w:val="004F02CF"/>
    <w:rsid w:val="004F129C"/>
    <w:rsid w:val="004F5040"/>
    <w:rsid w:val="004F7D91"/>
    <w:rsid w:val="00500D3B"/>
    <w:rsid w:val="005031D2"/>
    <w:rsid w:val="0050670D"/>
    <w:rsid w:val="0051001E"/>
    <w:rsid w:val="00510918"/>
    <w:rsid w:val="00510B65"/>
    <w:rsid w:val="00511109"/>
    <w:rsid w:val="00511DB3"/>
    <w:rsid w:val="00511F86"/>
    <w:rsid w:val="00513949"/>
    <w:rsid w:val="00516978"/>
    <w:rsid w:val="005221CC"/>
    <w:rsid w:val="00527C8C"/>
    <w:rsid w:val="00537980"/>
    <w:rsid w:val="00545885"/>
    <w:rsid w:val="00551B82"/>
    <w:rsid w:val="0055252A"/>
    <w:rsid w:val="0055360C"/>
    <w:rsid w:val="00555466"/>
    <w:rsid w:val="00555F06"/>
    <w:rsid w:val="00563F27"/>
    <w:rsid w:val="005646DF"/>
    <w:rsid w:val="00564A51"/>
    <w:rsid w:val="00564BDD"/>
    <w:rsid w:val="00565301"/>
    <w:rsid w:val="005663D8"/>
    <w:rsid w:val="005707A4"/>
    <w:rsid w:val="00570FBF"/>
    <w:rsid w:val="00571284"/>
    <w:rsid w:val="00571423"/>
    <w:rsid w:val="00572BA7"/>
    <w:rsid w:val="005748E4"/>
    <w:rsid w:val="00575606"/>
    <w:rsid w:val="005777AB"/>
    <w:rsid w:val="00591E6B"/>
    <w:rsid w:val="00592C09"/>
    <w:rsid w:val="00592F86"/>
    <w:rsid w:val="0059760E"/>
    <w:rsid w:val="005A0F39"/>
    <w:rsid w:val="005A5827"/>
    <w:rsid w:val="005A6911"/>
    <w:rsid w:val="005A73A2"/>
    <w:rsid w:val="005B3D86"/>
    <w:rsid w:val="005C0646"/>
    <w:rsid w:val="005C2838"/>
    <w:rsid w:val="005C2B7B"/>
    <w:rsid w:val="005C2CD0"/>
    <w:rsid w:val="005C6FA5"/>
    <w:rsid w:val="005D1491"/>
    <w:rsid w:val="005D3523"/>
    <w:rsid w:val="005D45F4"/>
    <w:rsid w:val="005D6B07"/>
    <w:rsid w:val="005E076C"/>
    <w:rsid w:val="005E2108"/>
    <w:rsid w:val="005E24B8"/>
    <w:rsid w:val="005E38A2"/>
    <w:rsid w:val="005E5698"/>
    <w:rsid w:val="005E6CC2"/>
    <w:rsid w:val="005F02D4"/>
    <w:rsid w:val="005F1065"/>
    <w:rsid w:val="005F3C44"/>
    <w:rsid w:val="005F3FAC"/>
    <w:rsid w:val="005F7633"/>
    <w:rsid w:val="00600F56"/>
    <w:rsid w:val="00602949"/>
    <w:rsid w:val="00603C30"/>
    <w:rsid w:val="00604184"/>
    <w:rsid w:val="006100C5"/>
    <w:rsid w:val="00617A74"/>
    <w:rsid w:val="00617BD5"/>
    <w:rsid w:val="006254CB"/>
    <w:rsid w:val="00625D7B"/>
    <w:rsid w:val="00630D6C"/>
    <w:rsid w:val="00634C55"/>
    <w:rsid w:val="0063625D"/>
    <w:rsid w:val="0063656B"/>
    <w:rsid w:val="00636EC2"/>
    <w:rsid w:val="0063780B"/>
    <w:rsid w:val="00641F21"/>
    <w:rsid w:val="00643088"/>
    <w:rsid w:val="0064479C"/>
    <w:rsid w:val="00645C28"/>
    <w:rsid w:val="00647975"/>
    <w:rsid w:val="006509FC"/>
    <w:rsid w:val="0065595C"/>
    <w:rsid w:val="00656C10"/>
    <w:rsid w:val="00661183"/>
    <w:rsid w:val="00661684"/>
    <w:rsid w:val="00665065"/>
    <w:rsid w:val="0066514D"/>
    <w:rsid w:val="00673544"/>
    <w:rsid w:val="00673F1D"/>
    <w:rsid w:val="00684323"/>
    <w:rsid w:val="00684F58"/>
    <w:rsid w:val="00685932"/>
    <w:rsid w:val="00692515"/>
    <w:rsid w:val="00694341"/>
    <w:rsid w:val="00694BDE"/>
    <w:rsid w:val="0069539A"/>
    <w:rsid w:val="006A1976"/>
    <w:rsid w:val="006A3862"/>
    <w:rsid w:val="006A6200"/>
    <w:rsid w:val="006B073B"/>
    <w:rsid w:val="006B1127"/>
    <w:rsid w:val="006B57EF"/>
    <w:rsid w:val="006B5B5B"/>
    <w:rsid w:val="006B5BBA"/>
    <w:rsid w:val="006B6A11"/>
    <w:rsid w:val="006C180A"/>
    <w:rsid w:val="006C25F8"/>
    <w:rsid w:val="006C498D"/>
    <w:rsid w:val="006C5B05"/>
    <w:rsid w:val="006C5D4D"/>
    <w:rsid w:val="006C6B4F"/>
    <w:rsid w:val="006D0CB1"/>
    <w:rsid w:val="006D1C22"/>
    <w:rsid w:val="006D248A"/>
    <w:rsid w:val="006D33C8"/>
    <w:rsid w:val="006E2511"/>
    <w:rsid w:val="006E468A"/>
    <w:rsid w:val="006E5C7D"/>
    <w:rsid w:val="006F0C1B"/>
    <w:rsid w:val="006F0D48"/>
    <w:rsid w:val="006F3525"/>
    <w:rsid w:val="00701BC7"/>
    <w:rsid w:val="00701CE1"/>
    <w:rsid w:val="007052DB"/>
    <w:rsid w:val="00707906"/>
    <w:rsid w:val="007106EC"/>
    <w:rsid w:val="00714730"/>
    <w:rsid w:val="00716566"/>
    <w:rsid w:val="00720874"/>
    <w:rsid w:val="007209D7"/>
    <w:rsid w:val="00722A46"/>
    <w:rsid w:val="00722B3F"/>
    <w:rsid w:val="0072502E"/>
    <w:rsid w:val="00725E83"/>
    <w:rsid w:val="00726C3C"/>
    <w:rsid w:val="00732E57"/>
    <w:rsid w:val="00735FB8"/>
    <w:rsid w:val="007363E3"/>
    <w:rsid w:val="007372E8"/>
    <w:rsid w:val="00742C4A"/>
    <w:rsid w:val="007473A0"/>
    <w:rsid w:val="00747790"/>
    <w:rsid w:val="00753829"/>
    <w:rsid w:val="00756916"/>
    <w:rsid w:val="0076122F"/>
    <w:rsid w:val="0076162D"/>
    <w:rsid w:val="007625F3"/>
    <w:rsid w:val="007671BF"/>
    <w:rsid w:val="00773078"/>
    <w:rsid w:val="00773EF7"/>
    <w:rsid w:val="007767F3"/>
    <w:rsid w:val="007771C4"/>
    <w:rsid w:val="00784C04"/>
    <w:rsid w:val="00785062"/>
    <w:rsid w:val="007862B9"/>
    <w:rsid w:val="00786382"/>
    <w:rsid w:val="00790111"/>
    <w:rsid w:val="00790DB0"/>
    <w:rsid w:val="00790E6B"/>
    <w:rsid w:val="00792ABB"/>
    <w:rsid w:val="0079312A"/>
    <w:rsid w:val="007A1BFC"/>
    <w:rsid w:val="007A3000"/>
    <w:rsid w:val="007A45BF"/>
    <w:rsid w:val="007A4853"/>
    <w:rsid w:val="007A49BE"/>
    <w:rsid w:val="007A52DD"/>
    <w:rsid w:val="007A7388"/>
    <w:rsid w:val="007A762D"/>
    <w:rsid w:val="007B0CEE"/>
    <w:rsid w:val="007B2880"/>
    <w:rsid w:val="007B335A"/>
    <w:rsid w:val="007B3BA2"/>
    <w:rsid w:val="007B50A1"/>
    <w:rsid w:val="007B6137"/>
    <w:rsid w:val="007C3718"/>
    <w:rsid w:val="007C6782"/>
    <w:rsid w:val="007C68B1"/>
    <w:rsid w:val="007C75D9"/>
    <w:rsid w:val="007D0756"/>
    <w:rsid w:val="007D14C6"/>
    <w:rsid w:val="007D4B11"/>
    <w:rsid w:val="007D5134"/>
    <w:rsid w:val="007D53F1"/>
    <w:rsid w:val="007D76FA"/>
    <w:rsid w:val="007D7B33"/>
    <w:rsid w:val="007E1793"/>
    <w:rsid w:val="007E18CA"/>
    <w:rsid w:val="007E4BFE"/>
    <w:rsid w:val="007E7FED"/>
    <w:rsid w:val="007F1DC4"/>
    <w:rsid w:val="007F37CE"/>
    <w:rsid w:val="007F44AC"/>
    <w:rsid w:val="007F46D8"/>
    <w:rsid w:val="007F6C8A"/>
    <w:rsid w:val="00800F89"/>
    <w:rsid w:val="00803990"/>
    <w:rsid w:val="00805A31"/>
    <w:rsid w:val="00806410"/>
    <w:rsid w:val="008071ED"/>
    <w:rsid w:val="00810128"/>
    <w:rsid w:val="00810222"/>
    <w:rsid w:val="008117A2"/>
    <w:rsid w:val="008124E9"/>
    <w:rsid w:val="00813437"/>
    <w:rsid w:val="00816316"/>
    <w:rsid w:val="00817427"/>
    <w:rsid w:val="008174EA"/>
    <w:rsid w:val="00817ACB"/>
    <w:rsid w:val="0082021D"/>
    <w:rsid w:val="008220DD"/>
    <w:rsid w:val="00823C49"/>
    <w:rsid w:val="00823E2D"/>
    <w:rsid w:val="00826CAB"/>
    <w:rsid w:val="0083596C"/>
    <w:rsid w:val="00836C1C"/>
    <w:rsid w:val="00840BE5"/>
    <w:rsid w:val="00840D76"/>
    <w:rsid w:val="008410DC"/>
    <w:rsid w:val="00845C92"/>
    <w:rsid w:val="008539FD"/>
    <w:rsid w:val="00856E14"/>
    <w:rsid w:val="00857E40"/>
    <w:rsid w:val="0086128A"/>
    <w:rsid w:val="00862243"/>
    <w:rsid w:val="00862C77"/>
    <w:rsid w:val="00866229"/>
    <w:rsid w:val="008714B8"/>
    <w:rsid w:val="0087556D"/>
    <w:rsid w:val="008761BE"/>
    <w:rsid w:val="008767B7"/>
    <w:rsid w:val="00880266"/>
    <w:rsid w:val="00880480"/>
    <w:rsid w:val="008863FE"/>
    <w:rsid w:val="008868CE"/>
    <w:rsid w:val="0088748B"/>
    <w:rsid w:val="00887F39"/>
    <w:rsid w:val="00890627"/>
    <w:rsid w:val="00890F3C"/>
    <w:rsid w:val="00893412"/>
    <w:rsid w:val="0089361F"/>
    <w:rsid w:val="008939AB"/>
    <w:rsid w:val="008A1C69"/>
    <w:rsid w:val="008A1F6D"/>
    <w:rsid w:val="008A4194"/>
    <w:rsid w:val="008A5239"/>
    <w:rsid w:val="008A6504"/>
    <w:rsid w:val="008B0109"/>
    <w:rsid w:val="008B22E5"/>
    <w:rsid w:val="008B4B29"/>
    <w:rsid w:val="008B4B36"/>
    <w:rsid w:val="008B5574"/>
    <w:rsid w:val="008B5E52"/>
    <w:rsid w:val="008B7547"/>
    <w:rsid w:val="008C11DB"/>
    <w:rsid w:val="008C15E7"/>
    <w:rsid w:val="008C5546"/>
    <w:rsid w:val="008C6653"/>
    <w:rsid w:val="008C7FB5"/>
    <w:rsid w:val="008D0B22"/>
    <w:rsid w:val="008D19B2"/>
    <w:rsid w:val="008D567A"/>
    <w:rsid w:val="008D6887"/>
    <w:rsid w:val="008E010A"/>
    <w:rsid w:val="008E5204"/>
    <w:rsid w:val="008E5DE6"/>
    <w:rsid w:val="008E7058"/>
    <w:rsid w:val="008E7E31"/>
    <w:rsid w:val="008F00CB"/>
    <w:rsid w:val="008F05D9"/>
    <w:rsid w:val="008F236C"/>
    <w:rsid w:val="008F44A6"/>
    <w:rsid w:val="008F4BAF"/>
    <w:rsid w:val="008F6172"/>
    <w:rsid w:val="008F68C1"/>
    <w:rsid w:val="008F7991"/>
    <w:rsid w:val="00903B9C"/>
    <w:rsid w:val="009044B5"/>
    <w:rsid w:val="00907747"/>
    <w:rsid w:val="00917D6D"/>
    <w:rsid w:val="0092372C"/>
    <w:rsid w:val="00927A08"/>
    <w:rsid w:val="00933A7A"/>
    <w:rsid w:val="0093679D"/>
    <w:rsid w:val="00937A49"/>
    <w:rsid w:val="00941233"/>
    <w:rsid w:val="009412C3"/>
    <w:rsid w:val="009448FF"/>
    <w:rsid w:val="00944FC4"/>
    <w:rsid w:val="00955E1B"/>
    <w:rsid w:val="00955ED5"/>
    <w:rsid w:val="00960078"/>
    <w:rsid w:val="00961738"/>
    <w:rsid w:val="009634F1"/>
    <w:rsid w:val="00965F8F"/>
    <w:rsid w:val="00966BF6"/>
    <w:rsid w:val="00970748"/>
    <w:rsid w:val="00974B8D"/>
    <w:rsid w:val="009764AB"/>
    <w:rsid w:val="0097714B"/>
    <w:rsid w:val="00977801"/>
    <w:rsid w:val="00980096"/>
    <w:rsid w:val="00980592"/>
    <w:rsid w:val="00980D64"/>
    <w:rsid w:val="0098126D"/>
    <w:rsid w:val="009813A3"/>
    <w:rsid w:val="0098349C"/>
    <w:rsid w:val="009836D3"/>
    <w:rsid w:val="009839B7"/>
    <w:rsid w:val="00983F0E"/>
    <w:rsid w:val="00987DC6"/>
    <w:rsid w:val="00990A2F"/>
    <w:rsid w:val="00991E5B"/>
    <w:rsid w:val="009936B4"/>
    <w:rsid w:val="009A1868"/>
    <w:rsid w:val="009A21DB"/>
    <w:rsid w:val="009A6B42"/>
    <w:rsid w:val="009A6FBC"/>
    <w:rsid w:val="009B144E"/>
    <w:rsid w:val="009B312E"/>
    <w:rsid w:val="009B5695"/>
    <w:rsid w:val="009B57FF"/>
    <w:rsid w:val="009B599B"/>
    <w:rsid w:val="009B6D7A"/>
    <w:rsid w:val="009C0F6A"/>
    <w:rsid w:val="009C2EAD"/>
    <w:rsid w:val="009C34C2"/>
    <w:rsid w:val="009C47EA"/>
    <w:rsid w:val="009C58A1"/>
    <w:rsid w:val="009D0119"/>
    <w:rsid w:val="009D4F24"/>
    <w:rsid w:val="009D7D03"/>
    <w:rsid w:val="009E1715"/>
    <w:rsid w:val="009E2CD6"/>
    <w:rsid w:val="009E4844"/>
    <w:rsid w:val="009F0090"/>
    <w:rsid w:val="009F0EF3"/>
    <w:rsid w:val="009F4E6D"/>
    <w:rsid w:val="009F7F25"/>
    <w:rsid w:val="00A00C38"/>
    <w:rsid w:val="00A0395B"/>
    <w:rsid w:val="00A042D0"/>
    <w:rsid w:val="00A04338"/>
    <w:rsid w:val="00A04E5F"/>
    <w:rsid w:val="00A05817"/>
    <w:rsid w:val="00A059AD"/>
    <w:rsid w:val="00A06CAC"/>
    <w:rsid w:val="00A11EC8"/>
    <w:rsid w:val="00A20B54"/>
    <w:rsid w:val="00A22C14"/>
    <w:rsid w:val="00A24BDA"/>
    <w:rsid w:val="00A25C16"/>
    <w:rsid w:val="00A270D3"/>
    <w:rsid w:val="00A31EA4"/>
    <w:rsid w:val="00A359D0"/>
    <w:rsid w:val="00A42C83"/>
    <w:rsid w:val="00A45FE9"/>
    <w:rsid w:val="00A46507"/>
    <w:rsid w:val="00A47976"/>
    <w:rsid w:val="00A51128"/>
    <w:rsid w:val="00A53225"/>
    <w:rsid w:val="00A541D9"/>
    <w:rsid w:val="00A55FA9"/>
    <w:rsid w:val="00A57E9D"/>
    <w:rsid w:val="00A60B64"/>
    <w:rsid w:val="00A627FB"/>
    <w:rsid w:val="00A668C2"/>
    <w:rsid w:val="00A67121"/>
    <w:rsid w:val="00A72369"/>
    <w:rsid w:val="00A725BD"/>
    <w:rsid w:val="00A72EC9"/>
    <w:rsid w:val="00A7743F"/>
    <w:rsid w:val="00A80632"/>
    <w:rsid w:val="00A90A7A"/>
    <w:rsid w:val="00A92F0C"/>
    <w:rsid w:val="00A945BA"/>
    <w:rsid w:val="00A95432"/>
    <w:rsid w:val="00A97D86"/>
    <w:rsid w:val="00AA4830"/>
    <w:rsid w:val="00AA509F"/>
    <w:rsid w:val="00AB076A"/>
    <w:rsid w:val="00AB13E7"/>
    <w:rsid w:val="00AB1608"/>
    <w:rsid w:val="00AB2619"/>
    <w:rsid w:val="00AB62A1"/>
    <w:rsid w:val="00AC46B9"/>
    <w:rsid w:val="00AC55EC"/>
    <w:rsid w:val="00AD10B4"/>
    <w:rsid w:val="00AD2344"/>
    <w:rsid w:val="00AD2AB9"/>
    <w:rsid w:val="00AD400C"/>
    <w:rsid w:val="00AD7123"/>
    <w:rsid w:val="00AD7F00"/>
    <w:rsid w:val="00AE17EE"/>
    <w:rsid w:val="00AE31A0"/>
    <w:rsid w:val="00AE50A6"/>
    <w:rsid w:val="00AE67D0"/>
    <w:rsid w:val="00AE6B16"/>
    <w:rsid w:val="00AF04F1"/>
    <w:rsid w:val="00AF2537"/>
    <w:rsid w:val="00AF41B3"/>
    <w:rsid w:val="00AF486B"/>
    <w:rsid w:val="00AF5197"/>
    <w:rsid w:val="00AF5312"/>
    <w:rsid w:val="00AF6198"/>
    <w:rsid w:val="00B00C92"/>
    <w:rsid w:val="00B02192"/>
    <w:rsid w:val="00B04436"/>
    <w:rsid w:val="00B0548A"/>
    <w:rsid w:val="00B070BA"/>
    <w:rsid w:val="00B07B27"/>
    <w:rsid w:val="00B07DD1"/>
    <w:rsid w:val="00B118F4"/>
    <w:rsid w:val="00B14B5F"/>
    <w:rsid w:val="00B174D2"/>
    <w:rsid w:val="00B17527"/>
    <w:rsid w:val="00B178EE"/>
    <w:rsid w:val="00B2084D"/>
    <w:rsid w:val="00B27842"/>
    <w:rsid w:val="00B32E91"/>
    <w:rsid w:val="00B34885"/>
    <w:rsid w:val="00B351C1"/>
    <w:rsid w:val="00B35DF9"/>
    <w:rsid w:val="00B363C8"/>
    <w:rsid w:val="00B41D80"/>
    <w:rsid w:val="00B429C2"/>
    <w:rsid w:val="00B44430"/>
    <w:rsid w:val="00B44CBC"/>
    <w:rsid w:val="00B476CB"/>
    <w:rsid w:val="00B51266"/>
    <w:rsid w:val="00B53283"/>
    <w:rsid w:val="00B54CE1"/>
    <w:rsid w:val="00B5789D"/>
    <w:rsid w:val="00B63D13"/>
    <w:rsid w:val="00B65051"/>
    <w:rsid w:val="00B651FE"/>
    <w:rsid w:val="00B71098"/>
    <w:rsid w:val="00B74E5B"/>
    <w:rsid w:val="00B770AE"/>
    <w:rsid w:val="00B80A26"/>
    <w:rsid w:val="00B81664"/>
    <w:rsid w:val="00B84E74"/>
    <w:rsid w:val="00B860FF"/>
    <w:rsid w:val="00B861AA"/>
    <w:rsid w:val="00B9097E"/>
    <w:rsid w:val="00B90F00"/>
    <w:rsid w:val="00B91679"/>
    <w:rsid w:val="00B91D27"/>
    <w:rsid w:val="00B91DEC"/>
    <w:rsid w:val="00B9394A"/>
    <w:rsid w:val="00B93C38"/>
    <w:rsid w:val="00B96540"/>
    <w:rsid w:val="00BA050B"/>
    <w:rsid w:val="00BA1C53"/>
    <w:rsid w:val="00BA224A"/>
    <w:rsid w:val="00BB1904"/>
    <w:rsid w:val="00BB48BB"/>
    <w:rsid w:val="00BC44DF"/>
    <w:rsid w:val="00BC4645"/>
    <w:rsid w:val="00BC4CE9"/>
    <w:rsid w:val="00BC77A5"/>
    <w:rsid w:val="00BD18E3"/>
    <w:rsid w:val="00BD2727"/>
    <w:rsid w:val="00BD429A"/>
    <w:rsid w:val="00BD4346"/>
    <w:rsid w:val="00BD54BA"/>
    <w:rsid w:val="00BD6461"/>
    <w:rsid w:val="00BD64CB"/>
    <w:rsid w:val="00BE180C"/>
    <w:rsid w:val="00BE35E9"/>
    <w:rsid w:val="00BF195E"/>
    <w:rsid w:val="00BF3EFD"/>
    <w:rsid w:val="00BF43D3"/>
    <w:rsid w:val="00BF4CE0"/>
    <w:rsid w:val="00C01B70"/>
    <w:rsid w:val="00C02420"/>
    <w:rsid w:val="00C036B7"/>
    <w:rsid w:val="00C067F6"/>
    <w:rsid w:val="00C11ED7"/>
    <w:rsid w:val="00C15CA0"/>
    <w:rsid w:val="00C16478"/>
    <w:rsid w:val="00C175A6"/>
    <w:rsid w:val="00C20A6C"/>
    <w:rsid w:val="00C22096"/>
    <w:rsid w:val="00C228F5"/>
    <w:rsid w:val="00C325ED"/>
    <w:rsid w:val="00C33006"/>
    <w:rsid w:val="00C341F0"/>
    <w:rsid w:val="00C41679"/>
    <w:rsid w:val="00C424DB"/>
    <w:rsid w:val="00C42A06"/>
    <w:rsid w:val="00C43A11"/>
    <w:rsid w:val="00C43A13"/>
    <w:rsid w:val="00C45EB8"/>
    <w:rsid w:val="00C479A2"/>
    <w:rsid w:val="00C504C1"/>
    <w:rsid w:val="00C50EC4"/>
    <w:rsid w:val="00C5362F"/>
    <w:rsid w:val="00C55ECA"/>
    <w:rsid w:val="00C56E84"/>
    <w:rsid w:val="00C57B3F"/>
    <w:rsid w:val="00C60E4A"/>
    <w:rsid w:val="00C64722"/>
    <w:rsid w:val="00C64F04"/>
    <w:rsid w:val="00C67AB5"/>
    <w:rsid w:val="00C705BC"/>
    <w:rsid w:val="00C75034"/>
    <w:rsid w:val="00C8224A"/>
    <w:rsid w:val="00C862D9"/>
    <w:rsid w:val="00C86574"/>
    <w:rsid w:val="00C94926"/>
    <w:rsid w:val="00CA1AE5"/>
    <w:rsid w:val="00CA6320"/>
    <w:rsid w:val="00CA692D"/>
    <w:rsid w:val="00CB0564"/>
    <w:rsid w:val="00CB1C00"/>
    <w:rsid w:val="00CB1C1D"/>
    <w:rsid w:val="00CB6CE2"/>
    <w:rsid w:val="00CC046D"/>
    <w:rsid w:val="00CC5E8B"/>
    <w:rsid w:val="00CC76D6"/>
    <w:rsid w:val="00CD062F"/>
    <w:rsid w:val="00CD324D"/>
    <w:rsid w:val="00CD3FB5"/>
    <w:rsid w:val="00CD4484"/>
    <w:rsid w:val="00CD6819"/>
    <w:rsid w:val="00CE335E"/>
    <w:rsid w:val="00CE4668"/>
    <w:rsid w:val="00CE6A6D"/>
    <w:rsid w:val="00CF2ACC"/>
    <w:rsid w:val="00CF48A6"/>
    <w:rsid w:val="00CF5BB7"/>
    <w:rsid w:val="00CF7CD1"/>
    <w:rsid w:val="00D00915"/>
    <w:rsid w:val="00D02BFE"/>
    <w:rsid w:val="00D0751D"/>
    <w:rsid w:val="00D1520C"/>
    <w:rsid w:val="00D15A53"/>
    <w:rsid w:val="00D17F56"/>
    <w:rsid w:val="00D208BC"/>
    <w:rsid w:val="00D24D3A"/>
    <w:rsid w:val="00D309F8"/>
    <w:rsid w:val="00D329FE"/>
    <w:rsid w:val="00D32A25"/>
    <w:rsid w:val="00D367E9"/>
    <w:rsid w:val="00D40E3C"/>
    <w:rsid w:val="00D4106C"/>
    <w:rsid w:val="00D443F7"/>
    <w:rsid w:val="00D45F6A"/>
    <w:rsid w:val="00D51E3B"/>
    <w:rsid w:val="00D57F04"/>
    <w:rsid w:val="00D61503"/>
    <w:rsid w:val="00D61EF8"/>
    <w:rsid w:val="00D629B2"/>
    <w:rsid w:val="00D63C1A"/>
    <w:rsid w:val="00D663A7"/>
    <w:rsid w:val="00D77425"/>
    <w:rsid w:val="00D775A0"/>
    <w:rsid w:val="00D775D1"/>
    <w:rsid w:val="00D77B0F"/>
    <w:rsid w:val="00D825A1"/>
    <w:rsid w:val="00D83F8F"/>
    <w:rsid w:val="00D841FD"/>
    <w:rsid w:val="00D84AA7"/>
    <w:rsid w:val="00D858C8"/>
    <w:rsid w:val="00D85B36"/>
    <w:rsid w:val="00D90772"/>
    <w:rsid w:val="00D94A99"/>
    <w:rsid w:val="00DA28F2"/>
    <w:rsid w:val="00DA3E10"/>
    <w:rsid w:val="00DA3E92"/>
    <w:rsid w:val="00DA6226"/>
    <w:rsid w:val="00DA64DF"/>
    <w:rsid w:val="00DA7C37"/>
    <w:rsid w:val="00DB1D42"/>
    <w:rsid w:val="00DB3C7C"/>
    <w:rsid w:val="00DB5989"/>
    <w:rsid w:val="00DB7D0A"/>
    <w:rsid w:val="00DC02DF"/>
    <w:rsid w:val="00DC0367"/>
    <w:rsid w:val="00DC08C1"/>
    <w:rsid w:val="00DC2FA1"/>
    <w:rsid w:val="00DC5FC9"/>
    <w:rsid w:val="00DD1D7C"/>
    <w:rsid w:val="00DD284D"/>
    <w:rsid w:val="00DD372D"/>
    <w:rsid w:val="00DD468E"/>
    <w:rsid w:val="00DD55AD"/>
    <w:rsid w:val="00DD7A3F"/>
    <w:rsid w:val="00DE2D2B"/>
    <w:rsid w:val="00DF0A9E"/>
    <w:rsid w:val="00DF1F72"/>
    <w:rsid w:val="00DF451E"/>
    <w:rsid w:val="00DF4895"/>
    <w:rsid w:val="00DF49CD"/>
    <w:rsid w:val="00DF5CA8"/>
    <w:rsid w:val="00DF5CC0"/>
    <w:rsid w:val="00DF6365"/>
    <w:rsid w:val="00E038AC"/>
    <w:rsid w:val="00E03FAA"/>
    <w:rsid w:val="00E103AB"/>
    <w:rsid w:val="00E108C3"/>
    <w:rsid w:val="00E11E6A"/>
    <w:rsid w:val="00E1619F"/>
    <w:rsid w:val="00E167F4"/>
    <w:rsid w:val="00E16E2F"/>
    <w:rsid w:val="00E20F24"/>
    <w:rsid w:val="00E241C5"/>
    <w:rsid w:val="00E255F7"/>
    <w:rsid w:val="00E31167"/>
    <w:rsid w:val="00E31448"/>
    <w:rsid w:val="00E33537"/>
    <w:rsid w:val="00E373F1"/>
    <w:rsid w:val="00E3752D"/>
    <w:rsid w:val="00E41F30"/>
    <w:rsid w:val="00E43727"/>
    <w:rsid w:val="00E444BC"/>
    <w:rsid w:val="00E44521"/>
    <w:rsid w:val="00E50133"/>
    <w:rsid w:val="00E512AB"/>
    <w:rsid w:val="00E52D21"/>
    <w:rsid w:val="00E55644"/>
    <w:rsid w:val="00E55B02"/>
    <w:rsid w:val="00E56C8B"/>
    <w:rsid w:val="00E5729B"/>
    <w:rsid w:val="00E57742"/>
    <w:rsid w:val="00E63D99"/>
    <w:rsid w:val="00E64A89"/>
    <w:rsid w:val="00E677D1"/>
    <w:rsid w:val="00E70E07"/>
    <w:rsid w:val="00E72219"/>
    <w:rsid w:val="00E746E6"/>
    <w:rsid w:val="00E76ABD"/>
    <w:rsid w:val="00E7742A"/>
    <w:rsid w:val="00E77BF4"/>
    <w:rsid w:val="00E77F78"/>
    <w:rsid w:val="00E80C3F"/>
    <w:rsid w:val="00E81FB7"/>
    <w:rsid w:val="00E831B2"/>
    <w:rsid w:val="00E9104B"/>
    <w:rsid w:val="00E9289A"/>
    <w:rsid w:val="00E94A1D"/>
    <w:rsid w:val="00E9577D"/>
    <w:rsid w:val="00E9724C"/>
    <w:rsid w:val="00E97CA9"/>
    <w:rsid w:val="00EA30A5"/>
    <w:rsid w:val="00EA3495"/>
    <w:rsid w:val="00EA3BE0"/>
    <w:rsid w:val="00EA6D3A"/>
    <w:rsid w:val="00EB42A3"/>
    <w:rsid w:val="00EB4860"/>
    <w:rsid w:val="00EC0333"/>
    <w:rsid w:val="00EC450C"/>
    <w:rsid w:val="00ED43AA"/>
    <w:rsid w:val="00EE4151"/>
    <w:rsid w:val="00EE66BD"/>
    <w:rsid w:val="00EE75BC"/>
    <w:rsid w:val="00EF2126"/>
    <w:rsid w:val="00EF4AFD"/>
    <w:rsid w:val="00F022F1"/>
    <w:rsid w:val="00F024EE"/>
    <w:rsid w:val="00F04E9D"/>
    <w:rsid w:val="00F0654C"/>
    <w:rsid w:val="00F10611"/>
    <w:rsid w:val="00F11586"/>
    <w:rsid w:val="00F13249"/>
    <w:rsid w:val="00F15A87"/>
    <w:rsid w:val="00F17CFE"/>
    <w:rsid w:val="00F204A8"/>
    <w:rsid w:val="00F23631"/>
    <w:rsid w:val="00F26763"/>
    <w:rsid w:val="00F26F28"/>
    <w:rsid w:val="00F27516"/>
    <w:rsid w:val="00F31FC8"/>
    <w:rsid w:val="00F35101"/>
    <w:rsid w:val="00F35808"/>
    <w:rsid w:val="00F35F22"/>
    <w:rsid w:val="00F41DB6"/>
    <w:rsid w:val="00F4261A"/>
    <w:rsid w:val="00F51EB2"/>
    <w:rsid w:val="00F523D7"/>
    <w:rsid w:val="00F55084"/>
    <w:rsid w:val="00F5778C"/>
    <w:rsid w:val="00F57B3F"/>
    <w:rsid w:val="00F65BA8"/>
    <w:rsid w:val="00F678CC"/>
    <w:rsid w:val="00F70AEE"/>
    <w:rsid w:val="00F7195C"/>
    <w:rsid w:val="00F73EC6"/>
    <w:rsid w:val="00F74FE7"/>
    <w:rsid w:val="00F913EA"/>
    <w:rsid w:val="00F91DED"/>
    <w:rsid w:val="00F92117"/>
    <w:rsid w:val="00F923C1"/>
    <w:rsid w:val="00F92C9A"/>
    <w:rsid w:val="00F934A9"/>
    <w:rsid w:val="00F94009"/>
    <w:rsid w:val="00F948BE"/>
    <w:rsid w:val="00F961A3"/>
    <w:rsid w:val="00F96454"/>
    <w:rsid w:val="00F97043"/>
    <w:rsid w:val="00FA409A"/>
    <w:rsid w:val="00FB296B"/>
    <w:rsid w:val="00FB2BA3"/>
    <w:rsid w:val="00FB436C"/>
    <w:rsid w:val="00FB4BB7"/>
    <w:rsid w:val="00FB58D5"/>
    <w:rsid w:val="00FB653A"/>
    <w:rsid w:val="00FC1997"/>
    <w:rsid w:val="00FC3AB1"/>
    <w:rsid w:val="00FC46D0"/>
    <w:rsid w:val="00FC6F05"/>
    <w:rsid w:val="00FD54AB"/>
    <w:rsid w:val="00FE0E73"/>
    <w:rsid w:val="00FE1D4D"/>
    <w:rsid w:val="00FE3F3E"/>
    <w:rsid w:val="00FF185D"/>
    <w:rsid w:val="00FF5C16"/>
    <w:rsid w:val="018D749A"/>
    <w:rsid w:val="01E40AF3"/>
    <w:rsid w:val="02270541"/>
    <w:rsid w:val="03854648"/>
    <w:rsid w:val="03863424"/>
    <w:rsid w:val="0402350B"/>
    <w:rsid w:val="04285269"/>
    <w:rsid w:val="04E074B6"/>
    <w:rsid w:val="04FA2F0F"/>
    <w:rsid w:val="06053987"/>
    <w:rsid w:val="061E5C0E"/>
    <w:rsid w:val="06442250"/>
    <w:rsid w:val="0650461B"/>
    <w:rsid w:val="07EE6F03"/>
    <w:rsid w:val="08940552"/>
    <w:rsid w:val="0C193530"/>
    <w:rsid w:val="0DAE70D8"/>
    <w:rsid w:val="0E622DC0"/>
    <w:rsid w:val="0FF72867"/>
    <w:rsid w:val="11A06207"/>
    <w:rsid w:val="11AC1C54"/>
    <w:rsid w:val="12477F66"/>
    <w:rsid w:val="14833D8A"/>
    <w:rsid w:val="14C40F33"/>
    <w:rsid w:val="15A54557"/>
    <w:rsid w:val="15D35A98"/>
    <w:rsid w:val="161A043F"/>
    <w:rsid w:val="17D006D9"/>
    <w:rsid w:val="18572718"/>
    <w:rsid w:val="186243A1"/>
    <w:rsid w:val="1A19481B"/>
    <w:rsid w:val="1A472428"/>
    <w:rsid w:val="1A8B5FDF"/>
    <w:rsid w:val="1BB41715"/>
    <w:rsid w:val="1D073ADE"/>
    <w:rsid w:val="1F8123CF"/>
    <w:rsid w:val="206F2E57"/>
    <w:rsid w:val="20781432"/>
    <w:rsid w:val="211F0C75"/>
    <w:rsid w:val="21E85285"/>
    <w:rsid w:val="23BD62E1"/>
    <w:rsid w:val="23DD5752"/>
    <w:rsid w:val="23F05D96"/>
    <w:rsid w:val="258F47F9"/>
    <w:rsid w:val="25B238AC"/>
    <w:rsid w:val="25BD48AC"/>
    <w:rsid w:val="262C04FF"/>
    <w:rsid w:val="268A7650"/>
    <w:rsid w:val="29733F04"/>
    <w:rsid w:val="29CE06A2"/>
    <w:rsid w:val="29CF7AE1"/>
    <w:rsid w:val="2AF032C8"/>
    <w:rsid w:val="2B831874"/>
    <w:rsid w:val="2BDC5201"/>
    <w:rsid w:val="2C031A63"/>
    <w:rsid w:val="2E4247D5"/>
    <w:rsid w:val="2F9E109F"/>
    <w:rsid w:val="2FE27C75"/>
    <w:rsid w:val="2FE97CF7"/>
    <w:rsid w:val="300A4CE1"/>
    <w:rsid w:val="306F31F1"/>
    <w:rsid w:val="30D04FC4"/>
    <w:rsid w:val="30E4509C"/>
    <w:rsid w:val="32150897"/>
    <w:rsid w:val="32605FDD"/>
    <w:rsid w:val="32CB5CEF"/>
    <w:rsid w:val="339234E5"/>
    <w:rsid w:val="33C31AA6"/>
    <w:rsid w:val="36C44C95"/>
    <w:rsid w:val="37AD7B39"/>
    <w:rsid w:val="388B1A55"/>
    <w:rsid w:val="3B3369B6"/>
    <w:rsid w:val="3B883E91"/>
    <w:rsid w:val="3C7D4DEA"/>
    <w:rsid w:val="3FF522DF"/>
    <w:rsid w:val="408202BD"/>
    <w:rsid w:val="408C0EA1"/>
    <w:rsid w:val="40EB5E08"/>
    <w:rsid w:val="41F209FD"/>
    <w:rsid w:val="42187731"/>
    <w:rsid w:val="43152D4C"/>
    <w:rsid w:val="439C05EE"/>
    <w:rsid w:val="43FD3E7A"/>
    <w:rsid w:val="46103027"/>
    <w:rsid w:val="47587104"/>
    <w:rsid w:val="47884A93"/>
    <w:rsid w:val="47906CE1"/>
    <w:rsid w:val="485F6274"/>
    <w:rsid w:val="48F71FD6"/>
    <w:rsid w:val="49567448"/>
    <w:rsid w:val="49921C45"/>
    <w:rsid w:val="4AAD2D62"/>
    <w:rsid w:val="4BDC652B"/>
    <w:rsid w:val="4D5D3449"/>
    <w:rsid w:val="4DFC1549"/>
    <w:rsid w:val="4E494F28"/>
    <w:rsid w:val="4E6D29C4"/>
    <w:rsid w:val="50D84574"/>
    <w:rsid w:val="51BF1763"/>
    <w:rsid w:val="52557809"/>
    <w:rsid w:val="52596DF2"/>
    <w:rsid w:val="52F60561"/>
    <w:rsid w:val="533741A7"/>
    <w:rsid w:val="536F7DA1"/>
    <w:rsid w:val="53C90AA8"/>
    <w:rsid w:val="53CC1F5B"/>
    <w:rsid w:val="549C655E"/>
    <w:rsid w:val="55CE2EDB"/>
    <w:rsid w:val="56463565"/>
    <w:rsid w:val="56FB7F7F"/>
    <w:rsid w:val="572D2603"/>
    <w:rsid w:val="581A1E12"/>
    <w:rsid w:val="58652896"/>
    <w:rsid w:val="58A2728D"/>
    <w:rsid w:val="59CF3150"/>
    <w:rsid w:val="5A207BDB"/>
    <w:rsid w:val="5CB353D9"/>
    <w:rsid w:val="5D477C51"/>
    <w:rsid w:val="5F9E6690"/>
    <w:rsid w:val="607779E9"/>
    <w:rsid w:val="60A93DAD"/>
    <w:rsid w:val="61455EDC"/>
    <w:rsid w:val="6187339E"/>
    <w:rsid w:val="62915D71"/>
    <w:rsid w:val="63060B32"/>
    <w:rsid w:val="638B5C6B"/>
    <w:rsid w:val="66F30466"/>
    <w:rsid w:val="68C811F9"/>
    <w:rsid w:val="69281FAC"/>
    <w:rsid w:val="69FB06F6"/>
    <w:rsid w:val="6A391380"/>
    <w:rsid w:val="6AE81FA5"/>
    <w:rsid w:val="6AE93CDC"/>
    <w:rsid w:val="6DF24829"/>
    <w:rsid w:val="7023136D"/>
    <w:rsid w:val="70CC667F"/>
    <w:rsid w:val="726F78E7"/>
    <w:rsid w:val="73537F29"/>
    <w:rsid w:val="7360710C"/>
    <w:rsid w:val="74014BF8"/>
    <w:rsid w:val="7429351F"/>
    <w:rsid w:val="753B3A01"/>
    <w:rsid w:val="76F06264"/>
    <w:rsid w:val="778039A7"/>
    <w:rsid w:val="77AF00A8"/>
    <w:rsid w:val="77DC1D4D"/>
    <w:rsid w:val="784259B9"/>
    <w:rsid w:val="7A021CA6"/>
    <w:rsid w:val="7A8677AC"/>
    <w:rsid w:val="7AD7051F"/>
    <w:rsid w:val="7C6D5D2F"/>
    <w:rsid w:val="7CE83C37"/>
    <w:rsid w:val="7D6B28CB"/>
    <w:rsid w:val="7F13384C"/>
    <w:rsid w:val="7F190916"/>
    <w:rsid w:val="7F99215D"/>
    <w:rsid w:val="BBFF2064"/>
    <w:rsid w:val="EBED5812"/>
    <w:rsid w:val="F7DE14F1"/>
    <w:rsid w:val="FDFD0EAE"/>
    <w:rsid w:val="FFABC9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4"/>
      <w:szCs w:val="21"/>
      <w:lang w:val="en-US" w:eastAsia="zh-CN" w:bidi="ar-SA"/>
    </w:rPr>
  </w:style>
  <w:style w:type="paragraph" w:styleId="2">
    <w:name w:val="heading 1"/>
    <w:basedOn w:val="3"/>
    <w:next w:val="1"/>
    <w:link w:val="44"/>
    <w:qFormat/>
    <w:uiPriority w:val="0"/>
    <w:pPr>
      <w:keepNext/>
      <w:keepLines/>
      <w:spacing w:before="0" w:after="0"/>
      <w:jc w:val="left"/>
    </w:pPr>
    <w:rPr>
      <w:rFonts w:ascii="Times New Roman" w:hAnsi="Times New Roman" w:eastAsia="黑体"/>
      <w:b w:val="0"/>
      <w:bCs w:val="0"/>
      <w:kern w:val="44"/>
      <w:sz w:val="44"/>
      <w:szCs w:val="44"/>
    </w:rPr>
  </w:style>
  <w:style w:type="paragraph" w:styleId="4">
    <w:name w:val="heading 2"/>
    <w:basedOn w:val="2"/>
    <w:next w:val="1"/>
    <w:link w:val="42"/>
    <w:qFormat/>
    <w:uiPriority w:val="0"/>
    <w:pPr>
      <w:outlineLvl w:val="1"/>
    </w:pPr>
    <w:rPr>
      <w:b/>
      <w:bCs/>
      <w:sz w:val="36"/>
      <w:szCs w:val="32"/>
    </w:rPr>
  </w:style>
  <w:style w:type="paragraph" w:styleId="5">
    <w:name w:val="heading 3"/>
    <w:basedOn w:val="2"/>
    <w:next w:val="1"/>
    <w:link w:val="50"/>
    <w:qFormat/>
    <w:uiPriority w:val="0"/>
    <w:pPr>
      <w:outlineLvl w:val="2"/>
    </w:pPr>
    <w:rPr>
      <w:b/>
      <w:bCs/>
      <w:sz w:val="32"/>
      <w:szCs w:val="32"/>
    </w:rPr>
  </w:style>
  <w:style w:type="paragraph" w:styleId="6">
    <w:name w:val="heading 4"/>
    <w:basedOn w:val="2"/>
    <w:next w:val="1"/>
    <w:link w:val="52"/>
    <w:qFormat/>
    <w:uiPriority w:val="0"/>
    <w:pPr>
      <w:outlineLvl w:val="3"/>
    </w:pPr>
    <w:rPr>
      <w:b/>
      <w:bCs/>
      <w:sz w:val="30"/>
      <w:szCs w:val="28"/>
    </w:rPr>
  </w:style>
  <w:style w:type="paragraph" w:styleId="7">
    <w:name w:val="heading 5"/>
    <w:basedOn w:val="2"/>
    <w:next w:val="1"/>
    <w:link w:val="48"/>
    <w:qFormat/>
    <w:uiPriority w:val="0"/>
    <w:pPr>
      <w:outlineLvl w:val="4"/>
    </w:pPr>
    <w:rPr>
      <w:b/>
      <w:bCs/>
      <w:sz w:val="28"/>
      <w:szCs w:val="28"/>
    </w:rPr>
  </w:style>
  <w:style w:type="paragraph" w:styleId="8">
    <w:name w:val="heading 6"/>
    <w:basedOn w:val="2"/>
    <w:next w:val="1"/>
    <w:link w:val="40"/>
    <w:qFormat/>
    <w:uiPriority w:val="0"/>
    <w:pPr>
      <w:outlineLvl w:val="5"/>
    </w:pPr>
    <w:rPr>
      <w:b/>
      <w:bCs/>
      <w:sz w:val="24"/>
      <w:szCs w:val="24"/>
    </w:rPr>
  </w:style>
  <w:style w:type="paragraph" w:styleId="9">
    <w:name w:val="heading 7"/>
    <w:basedOn w:val="2"/>
    <w:next w:val="1"/>
    <w:link w:val="41"/>
    <w:qFormat/>
    <w:uiPriority w:val="0"/>
    <w:pPr>
      <w:outlineLvl w:val="6"/>
    </w:pPr>
    <w:rPr>
      <w:b/>
      <w:bCs/>
      <w:sz w:val="24"/>
      <w:szCs w:val="24"/>
    </w:rPr>
  </w:style>
  <w:style w:type="paragraph" w:styleId="10">
    <w:name w:val="heading 8"/>
    <w:basedOn w:val="2"/>
    <w:next w:val="1"/>
    <w:link w:val="35"/>
    <w:qFormat/>
    <w:uiPriority w:val="0"/>
    <w:pPr>
      <w:outlineLvl w:val="7"/>
    </w:pPr>
    <w:rPr>
      <w:b/>
      <w:sz w:val="24"/>
      <w:szCs w:val="24"/>
    </w:rPr>
  </w:style>
  <w:style w:type="paragraph" w:styleId="11">
    <w:name w:val="heading 9"/>
    <w:basedOn w:val="2"/>
    <w:next w:val="1"/>
    <w:link w:val="38"/>
    <w:qFormat/>
    <w:uiPriority w:val="0"/>
    <w:pPr>
      <w:outlineLvl w:val="8"/>
    </w:pPr>
    <w:rPr>
      <w:b/>
      <w:sz w:val="24"/>
    </w:rPr>
  </w:style>
  <w:style w:type="character" w:default="1" w:styleId="31">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65"/>
    <w:qFormat/>
    <w:uiPriority w:val="0"/>
    <w:pPr>
      <w:spacing w:before="240" w:after="60"/>
      <w:jc w:val="center"/>
      <w:outlineLvl w:val="0"/>
    </w:pPr>
    <w:rPr>
      <w:rFonts w:asciiTheme="majorHAnsi" w:hAnsiTheme="majorHAnsi" w:cstheme="majorBidi"/>
      <w:b/>
      <w:bCs/>
      <w:sz w:val="32"/>
      <w:szCs w:val="32"/>
    </w:rPr>
  </w:style>
  <w:style w:type="paragraph" w:styleId="12">
    <w:name w:val="table of authorities"/>
    <w:basedOn w:val="1"/>
    <w:next w:val="1"/>
    <w:qFormat/>
    <w:uiPriority w:val="0"/>
    <w:pPr>
      <w:ind w:left="420" w:leftChars="200"/>
    </w:pPr>
  </w:style>
  <w:style w:type="paragraph" w:styleId="13">
    <w:name w:val="List Number"/>
    <w:basedOn w:val="1"/>
    <w:qFormat/>
    <w:uiPriority w:val="0"/>
    <w:pPr>
      <w:widowControl/>
      <w:numPr>
        <w:ilvl w:val="0"/>
        <w:numId w:val="1"/>
      </w:numPr>
      <w:tabs>
        <w:tab w:val="left" w:pos="454"/>
        <w:tab w:val="left" w:pos="720"/>
      </w:tabs>
      <w:spacing w:afterLines="50"/>
      <w:ind w:left="454" w:hanging="284"/>
      <w:jc w:val="left"/>
    </w:pPr>
    <w:rPr>
      <w:kern w:val="0"/>
      <w:szCs w:val="20"/>
    </w:rPr>
  </w:style>
  <w:style w:type="paragraph" w:styleId="14">
    <w:name w:val="Document Map"/>
    <w:basedOn w:val="1"/>
    <w:link w:val="53"/>
    <w:qFormat/>
    <w:uiPriority w:val="0"/>
    <w:rPr>
      <w:rFonts w:ascii="Tahoma" w:hAnsi="Tahoma"/>
      <w:sz w:val="16"/>
      <w:szCs w:val="16"/>
    </w:rPr>
  </w:style>
  <w:style w:type="paragraph" w:styleId="15">
    <w:name w:val="annotation text"/>
    <w:basedOn w:val="1"/>
    <w:link w:val="39"/>
    <w:qFormat/>
    <w:uiPriority w:val="0"/>
    <w:pPr>
      <w:jc w:val="left"/>
    </w:pPr>
    <w:rPr>
      <w:szCs w:val="20"/>
    </w:rPr>
  </w:style>
  <w:style w:type="paragraph" w:styleId="16">
    <w:name w:val="Body Text"/>
    <w:basedOn w:val="1"/>
    <w:qFormat/>
    <w:uiPriority w:val="0"/>
    <w:pPr>
      <w:adjustRightInd w:val="0"/>
      <w:spacing w:line="240" w:lineRule="auto"/>
      <w:jc w:val="left"/>
      <w:textAlignment w:val="baseline"/>
    </w:pPr>
    <w:rPr>
      <w:rFonts w:ascii="仿宋_GB2312" w:hAnsi="仿宋_GB2312"/>
      <w:kern w:val="0"/>
      <w:szCs w:val="20"/>
    </w:rPr>
  </w:style>
  <w:style w:type="paragraph" w:styleId="17">
    <w:name w:val="Body Text Indent"/>
    <w:basedOn w:val="1"/>
    <w:link w:val="45"/>
    <w:qFormat/>
    <w:uiPriority w:val="0"/>
    <w:pPr>
      <w:spacing w:after="120"/>
      <w:ind w:left="420" w:leftChars="200"/>
    </w:pPr>
  </w:style>
  <w:style w:type="paragraph" w:styleId="18">
    <w:name w:val="List 2"/>
    <w:basedOn w:val="1"/>
    <w:qFormat/>
    <w:uiPriority w:val="0"/>
    <w:pPr>
      <w:ind w:left="100" w:leftChars="200" w:hanging="200" w:hangingChars="200"/>
    </w:pPr>
  </w:style>
  <w:style w:type="paragraph" w:styleId="19">
    <w:name w:val="index 4"/>
    <w:basedOn w:val="1"/>
    <w:next w:val="1"/>
    <w:semiHidden/>
    <w:qFormat/>
    <w:uiPriority w:val="0"/>
    <w:pPr>
      <w:ind w:left="1260"/>
    </w:pPr>
  </w:style>
  <w:style w:type="paragraph" w:styleId="20">
    <w:name w:val="Plain Text"/>
    <w:basedOn w:val="1"/>
    <w:link w:val="49"/>
    <w:qFormat/>
    <w:uiPriority w:val="0"/>
    <w:pPr>
      <w:spacing w:beforeLines="50" w:afterLines="50" w:line="400" w:lineRule="exact"/>
    </w:pPr>
    <w:rPr>
      <w:rFonts w:ascii="宋体" w:hAnsi="Courier New"/>
    </w:rPr>
  </w:style>
  <w:style w:type="paragraph" w:styleId="21">
    <w:name w:val="Body Text Indent 2"/>
    <w:basedOn w:val="1"/>
    <w:link w:val="54"/>
    <w:qFormat/>
    <w:uiPriority w:val="0"/>
    <w:pPr>
      <w:spacing w:after="120" w:line="480" w:lineRule="auto"/>
      <w:ind w:left="420" w:leftChars="200"/>
    </w:pPr>
  </w:style>
  <w:style w:type="paragraph" w:styleId="22">
    <w:name w:val="Balloon Text"/>
    <w:basedOn w:val="1"/>
    <w:link w:val="43"/>
    <w:qFormat/>
    <w:uiPriority w:val="0"/>
    <w:rPr>
      <w:sz w:val="18"/>
      <w:szCs w:val="18"/>
    </w:rPr>
  </w:style>
  <w:style w:type="paragraph" w:styleId="23">
    <w:name w:val="footer"/>
    <w:basedOn w:val="1"/>
    <w:link w:val="66"/>
    <w:unhideWhenUsed/>
    <w:qFormat/>
    <w:uiPriority w:val="99"/>
    <w:pPr>
      <w:tabs>
        <w:tab w:val="center" w:pos="4153"/>
        <w:tab w:val="right" w:pos="8306"/>
      </w:tabs>
      <w:snapToGrid w:val="0"/>
      <w:spacing w:line="240" w:lineRule="auto"/>
      <w:jc w:val="left"/>
    </w:pPr>
    <w:rPr>
      <w:sz w:val="18"/>
      <w:szCs w:val="18"/>
    </w:rPr>
  </w:style>
  <w:style w:type="paragraph" w:styleId="24">
    <w:name w:val="header"/>
    <w:basedOn w:val="1"/>
    <w:link w:val="6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5">
    <w:name w:val="Body Text Indent 3"/>
    <w:basedOn w:val="1"/>
    <w:qFormat/>
    <w:uiPriority w:val="0"/>
    <w:pPr>
      <w:spacing w:after="120"/>
      <w:ind w:left="420" w:leftChars="200"/>
    </w:pPr>
    <w:rPr>
      <w:sz w:val="16"/>
      <w:szCs w:val="16"/>
    </w:rPr>
  </w:style>
  <w:style w:type="paragraph" w:styleId="26">
    <w:name w:val="Normal (Web)"/>
    <w:basedOn w:val="1"/>
    <w:qFormat/>
    <w:uiPriority w:val="0"/>
    <w:pPr>
      <w:widowControl/>
      <w:spacing w:before="100" w:beforeAutospacing="1" w:after="100" w:afterAutospacing="1"/>
      <w:jc w:val="left"/>
    </w:pPr>
    <w:rPr>
      <w:rFonts w:ascii="宋体" w:hAnsi="宋体"/>
      <w:kern w:val="0"/>
    </w:rPr>
  </w:style>
  <w:style w:type="paragraph" w:styleId="27">
    <w:name w:val="Body Text First Indent 2"/>
    <w:basedOn w:val="17"/>
    <w:qFormat/>
    <w:uiPriority w:val="99"/>
    <w:pPr>
      <w:ind w:firstLine="420"/>
    </w:pPr>
  </w:style>
  <w:style w:type="table" w:styleId="29">
    <w:name w:val="Table Grid"/>
    <w:basedOn w:val="2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Table Elegant"/>
    <w:basedOn w:val="2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2">
    <w:name w:val="Strong"/>
    <w:qFormat/>
    <w:uiPriority w:val="22"/>
    <w:rPr>
      <w:b/>
      <w:bCs/>
    </w:rPr>
  </w:style>
  <w:style w:type="character" w:customStyle="1" w:styleId="33">
    <w:name w:val="font11"/>
    <w:qFormat/>
    <w:uiPriority w:val="0"/>
    <w:rPr>
      <w:rFonts w:hint="eastAsia" w:ascii="宋体" w:hAnsi="宋体" w:eastAsia="宋体"/>
      <w:color w:val="000000"/>
      <w:sz w:val="21"/>
      <w:szCs w:val="21"/>
      <w:u w:val="none"/>
    </w:rPr>
  </w:style>
  <w:style w:type="character" w:customStyle="1" w:styleId="34">
    <w:name w:val="pd_mob1"/>
    <w:qFormat/>
    <w:uiPriority w:val="0"/>
    <w:rPr>
      <w:b/>
      <w:bCs/>
      <w:color w:val="DB4F33"/>
      <w:sz w:val="30"/>
      <w:szCs w:val="30"/>
    </w:rPr>
  </w:style>
  <w:style w:type="character" w:customStyle="1" w:styleId="35">
    <w:name w:val="标题 8 字符"/>
    <w:basedOn w:val="31"/>
    <w:link w:val="10"/>
    <w:qFormat/>
    <w:uiPriority w:val="0"/>
    <w:rPr>
      <w:rFonts w:ascii="Times New Roman" w:hAnsi="Times New Roman" w:eastAsia="黑体" w:cstheme="majorBidi"/>
      <w:b/>
      <w:kern w:val="44"/>
      <w:sz w:val="24"/>
      <w:szCs w:val="24"/>
    </w:rPr>
  </w:style>
  <w:style w:type="character" w:customStyle="1" w:styleId="36">
    <w:name w:val="列表段落 字符"/>
    <w:link w:val="37"/>
    <w:qFormat/>
    <w:locked/>
    <w:uiPriority w:val="34"/>
    <w:rPr>
      <w:sz w:val="24"/>
    </w:rPr>
  </w:style>
  <w:style w:type="paragraph" w:customStyle="1" w:styleId="37">
    <w:name w:val="列表段落1"/>
    <w:basedOn w:val="1"/>
    <w:link w:val="36"/>
    <w:qFormat/>
    <w:uiPriority w:val="99"/>
    <w:pPr>
      <w:ind w:firstLine="420"/>
    </w:pPr>
  </w:style>
  <w:style w:type="character" w:customStyle="1" w:styleId="38">
    <w:name w:val="标题 9 字符"/>
    <w:basedOn w:val="31"/>
    <w:link w:val="11"/>
    <w:qFormat/>
    <w:uiPriority w:val="0"/>
    <w:rPr>
      <w:rFonts w:ascii="Times New Roman" w:hAnsi="Times New Roman" w:eastAsia="黑体" w:cstheme="majorBidi"/>
      <w:b/>
      <w:kern w:val="44"/>
      <w:sz w:val="24"/>
      <w:szCs w:val="44"/>
    </w:rPr>
  </w:style>
  <w:style w:type="character" w:customStyle="1" w:styleId="39">
    <w:name w:val="批注文字 字符"/>
    <w:link w:val="15"/>
    <w:qFormat/>
    <w:uiPriority w:val="0"/>
    <w:rPr>
      <w:rFonts w:eastAsia="宋体"/>
      <w:kern w:val="2"/>
      <w:sz w:val="21"/>
      <w:lang w:val="en-US" w:eastAsia="zh-CN" w:bidi="ar-SA"/>
    </w:rPr>
  </w:style>
  <w:style w:type="character" w:customStyle="1" w:styleId="40">
    <w:name w:val="标题 6 字符"/>
    <w:basedOn w:val="31"/>
    <w:link w:val="8"/>
    <w:qFormat/>
    <w:uiPriority w:val="0"/>
    <w:rPr>
      <w:rFonts w:ascii="Times New Roman" w:hAnsi="Times New Roman" w:eastAsia="黑体" w:cstheme="majorBidi"/>
      <w:b/>
      <w:bCs/>
      <w:kern w:val="44"/>
      <w:sz w:val="24"/>
      <w:szCs w:val="24"/>
    </w:rPr>
  </w:style>
  <w:style w:type="character" w:customStyle="1" w:styleId="41">
    <w:name w:val="标题 7 字符"/>
    <w:basedOn w:val="31"/>
    <w:link w:val="9"/>
    <w:qFormat/>
    <w:uiPriority w:val="0"/>
    <w:rPr>
      <w:rFonts w:ascii="Times New Roman" w:hAnsi="Times New Roman" w:eastAsia="黑体" w:cstheme="majorBidi"/>
      <w:b/>
      <w:bCs/>
      <w:kern w:val="44"/>
      <w:sz w:val="24"/>
      <w:szCs w:val="24"/>
    </w:rPr>
  </w:style>
  <w:style w:type="character" w:customStyle="1" w:styleId="42">
    <w:name w:val="标题 2 字符"/>
    <w:basedOn w:val="31"/>
    <w:link w:val="4"/>
    <w:qFormat/>
    <w:uiPriority w:val="0"/>
    <w:rPr>
      <w:rFonts w:ascii="Times New Roman" w:hAnsi="Times New Roman" w:eastAsia="黑体" w:cstheme="majorBidi"/>
      <w:b/>
      <w:bCs/>
      <w:kern w:val="44"/>
      <w:sz w:val="36"/>
      <w:szCs w:val="32"/>
    </w:rPr>
  </w:style>
  <w:style w:type="character" w:customStyle="1" w:styleId="43">
    <w:name w:val="批注框文本 字符"/>
    <w:link w:val="22"/>
    <w:qFormat/>
    <w:uiPriority w:val="0"/>
    <w:rPr>
      <w:kern w:val="2"/>
      <w:sz w:val="18"/>
      <w:szCs w:val="18"/>
    </w:rPr>
  </w:style>
  <w:style w:type="character" w:customStyle="1" w:styleId="44">
    <w:name w:val="标题 1 字符"/>
    <w:basedOn w:val="31"/>
    <w:link w:val="2"/>
    <w:qFormat/>
    <w:uiPriority w:val="0"/>
    <w:rPr>
      <w:rFonts w:ascii="Times New Roman" w:hAnsi="Times New Roman" w:eastAsia="黑体" w:cstheme="majorBidi"/>
      <w:kern w:val="44"/>
      <w:sz w:val="44"/>
      <w:szCs w:val="44"/>
    </w:rPr>
  </w:style>
  <w:style w:type="character" w:customStyle="1" w:styleId="45">
    <w:name w:val="正文文本缩进 字符"/>
    <w:link w:val="17"/>
    <w:qFormat/>
    <w:locked/>
    <w:uiPriority w:val="0"/>
    <w:rPr>
      <w:kern w:val="2"/>
      <w:sz w:val="21"/>
      <w:szCs w:val="24"/>
    </w:rPr>
  </w:style>
  <w:style w:type="character" w:customStyle="1" w:styleId="46">
    <w:name w:val="样式1 字符"/>
    <w:link w:val="47"/>
    <w:qFormat/>
    <w:uiPriority w:val="0"/>
    <w:rPr>
      <w:rFonts w:ascii="宋体" w:hAnsi="Courier New"/>
      <w:color w:val="000000"/>
      <w:kern w:val="2"/>
      <w:sz w:val="24"/>
      <w:szCs w:val="24"/>
    </w:rPr>
  </w:style>
  <w:style w:type="paragraph" w:customStyle="1" w:styleId="47">
    <w:name w:val="样式1"/>
    <w:basedOn w:val="20"/>
    <w:next w:val="8"/>
    <w:link w:val="46"/>
    <w:qFormat/>
    <w:uiPriority w:val="0"/>
    <w:pPr>
      <w:snapToGrid w:val="0"/>
      <w:spacing w:beforeLines="0" w:afterLines="0" w:line="360" w:lineRule="auto"/>
    </w:pPr>
    <w:rPr>
      <w:color w:val="000000"/>
    </w:rPr>
  </w:style>
  <w:style w:type="character" w:customStyle="1" w:styleId="48">
    <w:name w:val="标题 5 字符"/>
    <w:basedOn w:val="31"/>
    <w:link w:val="7"/>
    <w:qFormat/>
    <w:uiPriority w:val="0"/>
    <w:rPr>
      <w:rFonts w:ascii="Times New Roman" w:hAnsi="Times New Roman" w:eastAsia="黑体" w:cstheme="majorBidi"/>
      <w:b/>
      <w:bCs/>
      <w:kern w:val="44"/>
      <w:sz w:val="28"/>
      <w:szCs w:val="28"/>
    </w:rPr>
  </w:style>
  <w:style w:type="character" w:customStyle="1" w:styleId="49">
    <w:name w:val="纯文本 字符"/>
    <w:link w:val="20"/>
    <w:qFormat/>
    <w:locked/>
    <w:uiPriority w:val="0"/>
    <w:rPr>
      <w:rFonts w:ascii="宋体" w:hAnsi="Courier New"/>
      <w:kern w:val="2"/>
      <w:sz w:val="24"/>
      <w:szCs w:val="24"/>
    </w:rPr>
  </w:style>
  <w:style w:type="character" w:customStyle="1" w:styleId="50">
    <w:name w:val="标题 3 字符"/>
    <w:basedOn w:val="31"/>
    <w:link w:val="5"/>
    <w:qFormat/>
    <w:uiPriority w:val="0"/>
    <w:rPr>
      <w:rFonts w:ascii="Times New Roman" w:hAnsi="Times New Roman" w:eastAsia="黑体" w:cstheme="majorBidi"/>
      <w:b/>
      <w:bCs/>
      <w:kern w:val="44"/>
      <w:sz w:val="32"/>
      <w:szCs w:val="32"/>
    </w:rPr>
  </w:style>
  <w:style w:type="character" w:customStyle="1" w:styleId="51">
    <w:name w:val="141"/>
    <w:qFormat/>
    <w:uiPriority w:val="0"/>
    <w:rPr>
      <w:sz w:val="21"/>
      <w:szCs w:val="21"/>
    </w:rPr>
  </w:style>
  <w:style w:type="character" w:customStyle="1" w:styleId="52">
    <w:name w:val="标题 4 字符"/>
    <w:basedOn w:val="31"/>
    <w:link w:val="6"/>
    <w:qFormat/>
    <w:uiPriority w:val="0"/>
    <w:rPr>
      <w:rFonts w:ascii="Times New Roman" w:hAnsi="Times New Roman" w:eastAsia="黑体" w:cstheme="majorBidi"/>
      <w:b/>
      <w:bCs/>
      <w:kern w:val="44"/>
      <w:sz w:val="30"/>
      <w:szCs w:val="28"/>
    </w:rPr>
  </w:style>
  <w:style w:type="character" w:customStyle="1" w:styleId="53">
    <w:name w:val="文档结构图 字符"/>
    <w:link w:val="14"/>
    <w:qFormat/>
    <w:uiPriority w:val="0"/>
    <w:rPr>
      <w:rFonts w:ascii="Tahoma" w:hAnsi="Tahoma" w:cs="Tahoma"/>
      <w:kern w:val="2"/>
      <w:sz w:val="16"/>
      <w:szCs w:val="16"/>
    </w:rPr>
  </w:style>
  <w:style w:type="character" w:customStyle="1" w:styleId="54">
    <w:name w:val="正文文本缩进 2 字符"/>
    <w:link w:val="21"/>
    <w:qFormat/>
    <w:uiPriority w:val="0"/>
    <w:rPr>
      <w:kern w:val="2"/>
      <w:sz w:val="21"/>
      <w:szCs w:val="24"/>
    </w:rPr>
  </w:style>
  <w:style w:type="paragraph" w:customStyle="1" w:styleId="55">
    <w:name w:val="文章正文"/>
    <w:basedOn w:val="1"/>
    <w:qFormat/>
    <w:uiPriority w:val="0"/>
    <w:pPr>
      <w:ind w:firstLine="560"/>
    </w:pPr>
    <w:rPr>
      <w:rFonts w:eastAsia="仿宋_GB2312"/>
      <w:kern w:val="0"/>
      <w:sz w:val="28"/>
    </w:rPr>
  </w:style>
  <w:style w:type="paragraph" w:customStyle="1" w:styleId="56">
    <w:name w:val="List Paragraph1"/>
    <w:basedOn w:val="1"/>
    <w:qFormat/>
    <w:uiPriority w:val="0"/>
    <w:pPr>
      <w:widowControl/>
      <w:spacing w:after="200" w:line="276" w:lineRule="auto"/>
      <w:ind w:left="720"/>
      <w:contextualSpacing/>
      <w:jc w:val="left"/>
    </w:pPr>
    <w:rPr>
      <w:kern w:val="0"/>
      <w:sz w:val="22"/>
    </w:rPr>
  </w:style>
  <w:style w:type="paragraph" w:customStyle="1" w:styleId="57">
    <w:name w:val="中等深浅网格 21"/>
    <w:qFormat/>
    <w:uiPriority w:val="1"/>
    <w:pPr>
      <w:widowControl w:val="0"/>
      <w:jc w:val="both"/>
    </w:pPr>
    <w:rPr>
      <w:rFonts w:ascii="Calibri" w:hAnsi="Calibri" w:eastAsia="宋体" w:cs="Times New Roman"/>
      <w:kern w:val="2"/>
      <w:sz w:val="21"/>
      <w:szCs w:val="24"/>
      <w:lang w:val="en-US" w:eastAsia="zh-CN" w:bidi="ar-SA"/>
    </w:rPr>
  </w:style>
  <w:style w:type="paragraph" w:customStyle="1" w:styleId="58">
    <w:name w:val="正文段"/>
    <w:basedOn w:val="1"/>
    <w:qFormat/>
    <w:uiPriority w:val="0"/>
    <w:pPr>
      <w:widowControl/>
      <w:snapToGrid w:val="0"/>
      <w:spacing w:afterLines="50"/>
    </w:pPr>
    <w:rPr>
      <w:kern w:val="0"/>
      <w:szCs w:val="20"/>
    </w:rPr>
  </w:style>
  <w:style w:type="paragraph" w:customStyle="1" w:styleId="59">
    <w:name w:val="彩色列表 - 着色 11"/>
    <w:basedOn w:val="1"/>
    <w:qFormat/>
    <w:uiPriority w:val="0"/>
    <w:pPr>
      <w:ind w:firstLine="420"/>
    </w:pPr>
  </w:style>
  <w:style w:type="paragraph" w:customStyle="1" w:styleId="60">
    <w:name w:val="Char"/>
    <w:basedOn w:val="1"/>
    <w:qFormat/>
    <w:uiPriority w:val="0"/>
    <w:rPr>
      <w:rFonts w:ascii="Tahoma" w:hAnsi="Tahoma"/>
      <w:szCs w:val="20"/>
    </w:rPr>
  </w:style>
  <w:style w:type="paragraph" w:customStyle="1" w:styleId="61">
    <w:name w:val="列出段落1"/>
    <w:basedOn w:val="1"/>
    <w:qFormat/>
    <w:uiPriority w:val="0"/>
  </w:style>
  <w:style w:type="paragraph" w:customStyle="1" w:styleId="62">
    <w:name w:val="p0"/>
    <w:basedOn w:val="1"/>
    <w:qFormat/>
    <w:uiPriority w:val="0"/>
    <w:pPr>
      <w:widowControl/>
    </w:pPr>
    <w:rPr>
      <w:kern w:val="0"/>
    </w:rPr>
  </w:style>
  <w:style w:type="paragraph" w:customStyle="1" w:styleId="63">
    <w:name w:val="样式 首行缩进:  2.25 字符"/>
    <w:basedOn w:val="1"/>
    <w:qFormat/>
    <w:uiPriority w:val="0"/>
    <w:pPr>
      <w:ind w:firstLine="225" w:firstLineChars="225"/>
    </w:pPr>
    <w:rPr>
      <w:rFonts w:cs="宋体"/>
      <w:szCs w:val="20"/>
    </w:rPr>
  </w:style>
  <w:style w:type="paragraph" w:customStyle="1" w:styleId="64">
    <w:name w:val="Char Char Char Char1"/>
    <w:basedOn w:val="1"/>
    <w:qFormat/>
    <w:uiPriority w:val="0"/>
    <w:pPr>
      <w:tabs>
        <w:tab w:val="left" w:pos="0"/>
      </w:tabs>
    </w:pPr>
    <w:rPr>
      <w:rFonts w:ascii="宋体" w:hAnsi="宋体" w:eastAsia="仿宋_GB2312"/>
      <w:sz w:val="28"/>
    </w:rPr>
  </w:style>
  <w:style w:type="character" w:customStyle="1" w:styleId="65">
    <w:name w:val="标题 字符"/>
    <w:basedOn w:val="31"/>
    <w:link w:val="3"/>
    <w:qFormat/>
    <w:uiPriority w:val="0"/>
    <w:rPr>
      <w:rFonts w:asciiTheme="majorHAnsi" w:hAnsiTheme="majorHAnsi" w:cstheme="majorBidi"/>
      <w:b/>
      <w:bCs/>
      <w:kern w:val="2"/>
      <w:sz w:val="32"/>
      <w:szCs w:val="32"/>
    </w:rPr>
  </w:style>
  <w:style w:type="character" w:customStyle="1" w:styleId="66">
    <w:name w:val="页脚 字符"/>
    <w:basedOn w:val="31"/>
    <w:link w:val="23"/>
    <w:qFormat/>
    <w:uiPriority w:val="99"/>
    <w:rPr>
      <w:rFonts w:ascii="Times New Roman" w:hAnsi="Times New Roman" w:cstheme="minorBidi"/>
      <w:kern w:val="2"/>
      <w:sz w:val="18"/>
      <w:szCs w:val="18"/>
    </w:rPr>
  </w:style>
  <w:style w:type="character" w:customStyle="1" w:styleId="67">
    <w:name w:val="页眉 字符"/>
    <w:basedOn w:val="31"/>
    <w:link w:val="24"/>
    <w:qFormat/>
    <w:uiPriority w:val="99"/>
    <w:rPr>
      <w:rFonts w:ascii="Times New Roman" w:hAnsi="Times New Roman" w:cstheme="minorBidi"/>
      <w:kern w:val="2"/>
      <w:sz w:val="18"/>
      <w:szCs w:val="18"/>
    </w:rPr>
  </w:style>
  <w:style w:type="paragraph" w:customStyle="1" w:styleId="68">
    <w:name w:val="正文缩进T"/>
    <w:basedOn w:val="1"/>
    <w:link w:val="69"/>
    <w:qFormat/>
    <w:uiPriority w:val="0"/>
    <w:pPr>
      <w:ind w:firstLine="480" w:firstLineChars="200"/>
    </w:pPr>
  </w:style>
  <w:style w:type="character" w:customStyle="1" w:styleId="69">
    <w:name w:val="正文缩进T Char"/>
    <w:basedOn w:val="31"/>
    <w:link w:val="68"/>
    <w:qFormat/>
    <w:uiPriority w:val="0"/>
    <w:rPr>
      <w:rFonts w:ascii="Times New Roman" w:hAnsi="Times New Roman" w:cstheme="minorBidi"/>
      <w:kern w:val="2"/>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685</Words>
  <Characters>3907</Characters>
  <Lines>32</Lines>
  <Paragraphs>9</Paragraphs>
  <TotalTime>4</TotalTime>
  <ScaleCrop>false</ScaleCrop>
  <LinksUpToDate>false</LinksUpToDate>
  <CharactersWithSpaces>4583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2021-07-13T08:26:00Z</dcterms:created>
  <dc:creator>微软用户</dc:creator>
  <cp:lastModifiedBy>小暖</cp:lastModifiedBy>
  <cp:lastPrinted>2012-10-27T00:18:00Z</cp:lastPrinted>
  <dcterms:modified xsi:type="dcterms:W3CDTF">2022-02-22T08:22:12Z</dcterms:modified>
  <dc:title>公开招标采购文件</dc:title>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733637AE9CD24C919F87EED085DF77D2</vt:lpwstr>
  </property>
</Properties>
</file>