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367" w:leftChars="183" w:hanging="1928" w:hangingChars="600"/>
        <w:jc w:val="center"/>
        <w:rPr>
          <w:rFonts w:hint="eastAsia" w:ascii="宋体" w:hAnsi="宋体" w:cs="宋体"/>
          <w:b/>
          <w:bCs/>
          <w:sz w:val="32"/>
          <w:szCs w:val="32"/>
        </w:rPr>
      </w:pPr>
      <w:r>
        <w:rPr>
          <w:rFonts w:hint="eastAsia" w:ascii="宋体" w:hAnsi="宋体" w:cs="宋体"/>
          <w:b/>
          <w:bCs/>
          <w:sz w:val="32"/>
          <w:szCs w:val="32"/>
        </w:rPr>
        <w:t>南京江宁医院DRG智能管理系统（一期）</w:t>
      </w:r>
    </w:p>
    <w:p>
      <w:pPr>
        <w:ind w:left="2367" w:leftChars="183" w:hanging="1928" w:hangingChars="600"/>
        <w:jc w:val="center"/>
        <w:rPr>
          <w:rFonts w:ascii="宋体" w:hAnsi="宋体" w:cs="宋体"/>
          <w:b/>
          <w:bCs/>
          <w:kern w:val="0"/>
          <w:sz w:val="32"/>
          <w:szCs w:val="32"/>
        </w:rPr>
      </w:pPr>
      <w:r>
        <w:rPr>
          <w:rFonts w:hint="eastAsia" w:ascii="宋体" w:hAnsi="宋体" w:cs="宋体"/>
          <w:b/>
          <w:bCs/>
          <w:sz w:val="32"/>
          <w:szCs w:val="32"/>
        </w:rPr>
        <w:t>采购</w:t>
      </w:r>
      <w:r>
        <w:rPr>
          <w:rFonts w:hint="eastAsia" w:ascii="宋体" w:hAnsi="宋体" w:cs="宋体"/>
          <w:b/>
          <w:bCs/>
          <w:kern w:val="0"/>
          <w:sz w:val="32"/>
          <w:szCs w:val="32"/>
        </w:rPr>
        <w:t>项目</w:t>
      </w:r>
    </w:p>
    <w:p>
      <w:pPr>
        <w:jc w:val="center"/>
        <w:rPr>
          <w:rFonts w:ascii="宋体" w:hAnsi="宋体" w:cs="宋体"/>
          <w:b/>
          <w:kern w:val="0"/>
          <w:sz w:val="28"/>
          <w:szCs w:val="28"/>
        </w:rPr>
      </w:pPr>
    </w:p>
    <w:p>
      <w:pPr>
        <w:pStyle w:val="2"/>
        <w:numPr>
          <w:ilvl w:val="0"/>
          <w:numId w:val="0"/>
        </w:numPr>
        <w:rPr>
          <w:rFonts w:ascii="宋体" w:hAnsi="宋体" w:eastAsia="宋体"/>
          <w:sz w:val="28"/>
          <w:szCs w:val="28"/>
        </w:rPr>
      </w:pPr>
      <w:r>
        <w:rPr>
          <w:rFonts w:hint="eastAsia" w:ascii="宋体" w:hAnsi="宋体" w:eastAsia="宋体"/>
          <w:sz w:val="28"/>
          <w:szCs w:val="28"/>
        </w:rPr>
        <w:t>一、</w:t>
      </w:r>
      <w:r>
        <w:rPr>
          <w:rFonts w:hint="eastAsia" w:ascii="宋体" w:hAnsi="宋体" w:eastAsia="宋体"/>
          <w:b/>
          <w:sz w:val="28"/>
          <w:szCs w:val="28"/>
        </w:rPr>
        <w:t>供应商报名资格要求</w:t>
      </w:r>
    </w:p>
    <w:p>
      <w:pPr>
        <w:pStyle w:val="4"/>
        <w:rPr>
          <w:rFonts w:ascii="宋体" w:hAnsi="宋体" w:eastAsia="宋体"/>
          <w:b w:val="0"/>
          <w:sz w:val="28"/>
          <w:szCs w:val="28"/>
        </w:rPr>
      </w:pPr>
      <w:r>
        <w:rPr>
          <w:rFonts w:hint="eastAsia" w:ascii="宋体" w:hAnsi="宋体" w:eastAsia="宋体"/>
          <w:b w:val="0"/>
          <w:sz w:val="28"/>
          <w:szCs w:val="28"/>
        </w:rPr>
        <w:t>供应商报名资格要求</w:t>
      </w:r>
    </w:p>
    <w:p>
      <w:pPr>
        <w:ind w:firstLine="562"/>
        <w:rPr>
          <w:rFonts w:ascii="宋体" w:hAnsi="宋体" w:cs="宋体"/>
          <w:b/>
          <w:bCs/>
          <w:color w:val="000000"/>
          <w:sz w:val="28"/>
          <w:szCs w:val="28"/>
        </w:rPr>
      </w:pPr>
      <w:r>
        <w:rPr>
          <w:rFonts w:hint="eastAsia" w:ascii="宋体" w:hAnsi="宋体" w:cs="宋体"/>
          <w:b/>
          <w:bCs/>
          <w:color w:val="000000"/>
          <w:sz w:val="28"/>
          <w:szCs w:val="28"/>
        </w:rPr>
        <w:t>各供应商在报名时须可提供法人、企业、产品与经营信息等证明文件并加盖公章；</w:t>
      </w:r>
    </w:p>
    <w:p>
      <w:pPr>
        <w:ind w:firstLine="560"/>
        <w:rPr>
          <w:rFonts w:ascii="宋体" w:hAnsi="宋体" w:cs="宋体"/>
          <w:color w:val="000000"/>
          <w:sz w:val="28"/>
          <w:szCs w:val="28"/>
        </w:rPr>
      </w:pPr>
      <w:r>
        <w:rPr>
          <w:rFonts w:hint="eastAsia" w:ascii="宋体" w:hAnsi="宋体" w:cs="宋体"/>
          <w:color w:val="000000"/>
          <w:sz w:val="28"/>
          <w:szCs w:val="28"/>
        </w:rPr>
        <w:t>1）具有独立承担民事责任的能力的证明材料，出具符合以下情况的证明材料复印件（五选一）：</w:t>
      </w:r>
    </w:p>
    <w:p>
      <w:pPr>
        <w:ind w:firstLine="560"/>
        <w:rPr>
          <w:rFonts w:ascii="宋体" w:hAnsi="宋体" w:cs="宋体"/>
          <w:color w:val="000000"/>
          <w:sz w:val="28"/>
          <w:szCs w:val="28"/>
        </w:rPr>
      </w:pPr>
      <w:r>
        <w:rPr>
          <w:rFonts w:hint="eastAsia" w:ascii="宋体" w:hAnsi="宋体" w:cs="宋体"/>
          <w:color w:val="000000"/>
          <w:sz w:val="28"/>
          <w:szCs w:val="28"/>
        </w:rPr>
        <w:t>A.如供应商是企业（包括合伙企业），可提供在工商部门注册的有效“企业法人营业执照”或“营业执照”；</w:t>
      </w:r>
    </w:p>
    <w:p>
      <w:pPr>
        <w:ind w:firstLine="560"/>
        <w:rPr>
          <w:rFonts w:ascii="宋体" w:hAnsi="宋体" w:cs="宋体"/>
          <w:color w:val="000000"/>
          <w:sz w:val="28"/>
          <w:szCs w:val="28"/>
        </w:rPr>
      </w:pPr>
      <w:r>
        <w:rPr>
          <w:rFonts w:hint="eastAsia" w:ascii="宋体" w:hAnsi="宋体" w:cs="宋体"/>
          <w:color w:val="000000"/>
          <w:sz w:val="28"/>
          <w:szCs w:val="28"/>
        </w:rPr>
        <w:t>B.如供应商是事业单位，可提供有效的“事业单位法人证书”；</w:t>
      </w:r>
    </w:p>
    <w:p>
      <w:pPr>
        <w:ind w:firstLine="560"/>
        <w:rPr>
          <w:rFonts w:ascii="宋体" w:hAnsi="宋体" w:cs="宋体"/>
          <w:color w:val="000000"/>
          <w:sz w:val="28"/>
          <w:szCs w:val="28"/>
        </w:rPr>
      </w:pPr>
      <w:r>
        <w:rPr>
          <w:rFonts w:hint="eastAsia" w:ascii="宋体" w:hAnsi="宋体" w:cs="宋体"/>
          <w:color w:val="000000"/>
          <w:sz w:val="28"/>
          <w:szCs w:val="28"/>
        </w:rPr>
        <w:t>C.如供应商是非企业专业服务机构的，可提供执业许可证等证明文件；</w:t>
      </w:r>
    </w:p>
    <w:p>
      <w:pPr>
        <w:ind w:firstLine="560"/>
        <w:rPr>
          <w:rFonts w:ascii="宋体" w:hAnsi="宋体" w:cs="宋体"/>
          <w:color w:val="000000"/>
          <w:sz w:val="28"/>
          <w:szCs w:val="28"/>
        </w:rPr>
      </w:pPr>
      <w:r>
        <w:rPr>
          <w:rFonts w:hint="eastAsia" w:ascii="宋体" w:hAnsi="宋体" w:cs="宋体"/>
          <w:color w:val="000000"/>
          <w:sz w:val="28"/>
          <w:szCs w:val="28"/>
        </w:rPr>
        <w:t>D.如供应商是个体工商户，可提供有效的“个体工商户营业执照”；</w:t>
      </w:r>
    </w:p>
    <w:p>
      <w:pPr>
        <w:ind w:firstLine="560"/>
        <w:rPr>
          <w:rFonts w:ascii="宋体" w:hAnsi="宋体" w:cs="宋体"/>
          <w:color w:val="000000"/>
          <w:sz w:val="28"/>
          <w:szCs w:val="28"/>
        </w:rPr>
      </w:pPr>
      <w:r>
        <w:rPr>
          <w:rFonts w:hint="eastAsia" w:ascii="宋体" w:hAnsi="宋体" w:cs="宋体"/>
          <w:color w:val="000000"/>
          <w:sz w:val="28"/>
          <w:szCs w:val="28"/>
        </w:rPr>
        <w:t>E.如供应商是自然人，可提供有效的自然人身份证明（居民身份证正反面或公安机关出具的临时居民身份证正反面或港澳台胞证或护照）。</w:t>
      </w:r>
    </w:p>
    <w:p>
      <w:pPr>
        <w:ind w:firstLine="560"/>
        <w:rPr>
          <w:rFonts w:ascii="宋体" w:hAnsi="宋体" w:cs="宋体"/>
          <w:color w:val="000000"/>
          <w:sz w:val="28"/>
          <w:szCs w:val="28"/>
        </w:rPr>
      </w:pPr>
      <w:r>
        <w:rPr>
          <w:rFonts w:hint="eastAsia" w:ascii="宋体" w:hAnsi="宋体" w:cs="宋体"/>
          <w:color w:val="000000"/>
          <w:sz w:val="28"/>
          <w:szCs w:val="28"/>
        </w:rPr>
        <w:t>2）法定代表人资格证明书；</w:t>
      </w:r>
    </w:p>
    <w:p>
      <w:pPr>
        <w:ind w:firstLine="560"/>
        <w:rPr>
          <w:rFonts w:ascii="宋体" w:hAnsi="宋体" w:cs="宋体"/>
          <w:color w:val="000000"/>
          <w:sz w:val="28"/>
          <w:szCs w:val="28"/>
        </w:rPr>
      </w:pPr>
      <w:r>
        <w:rPr>
          <w:rFonts w:hint="eastAsia" w:ascii="宋体" w:hAnsi="宋体" w:cs="宋体"/>
          <w:color w:val="000000"/>
          <w:sz w:val="28"/>
          <w:szCs w:val="28"/>
        </w:rPr>
        <w:t>3）法定代表人授权委托书（法定代表人签署不需提供此书）；法定代表人及授权代表身份证正反面复印件；</w:t>
      </w:r>
    </w:p>
    <w:p>
      <w:pPr>
        <w:ind w:firstLine="560"/>
        <w:rPr>
          <w:rFonts w:ascii="宋体" w:hAnsi="宋体" w:cs="宋体"/>
          <w:color w:val="000000"/>
          <w:sz w:val="28"/>
          <w:szCs w:val="28"/>
        </w:rPr>
      </w:pPr>
      <w:r>
        <w:rPr>
          <w:rFonts w:hint="eastAsia" w:ascii="宋体" w:hAnsi="宋体" w:cs="宋体"/>
          <w:color w:val="000000"/>
          <w:sz w:val="28"/>
          <w:szCs w:val="28"/>
        </w:rPr>
        <w:t>4）社保机构出具授权代表的投标截止日前6个月内授权代表的投标单位社保缴纳证明，任职不足6个月的可提供劳动合同证明文件；</w:t>
      </w:r>
    </w:p>
    <w:p>
      <w:pPr>
        <w:ind w:firstLine="560"/>
        <w:rPr>
          <w:rFonts w:ascii="宋体" w:hAnsi="宋体" w:cs="宋体"/>
          <w:color w:val="000000"/>
          <w:sz w:val="28"/>
          <w:szCs w:val="28"/>
        </w:rPr>
      </w:pPr>
      <w:r>
        <w:rPr>
          <w:rFonts w:hint="eastAsia" w:ascii="宋体" w:hAnsi="宋体" w:cs="宋体"/>
          <w:color w:val="000000"/>
          <w:sz w:val="28"/>
          <w:szCs w:val="28"/>
        </w:rPr>
        <w:t>5）近三年任意年度单位财务审计报告。</w:t>
      </w:r>
    </w:p>
    <w:p>
      <w:pPr>
        <w:pStyle w:val="18"/>
        <w:ind w:left="1040" w:hanging="560"/>
        <w:rPr>
          <w:rFonts w:ascii="宋体" w:hAnsi="宋体"/>
          <w:sz w:val="28"/>
          <w:szCs w:val="28"/>
        </w:rPr>
      </w:pPr>
    </w:p>
    <w:p>
      <w:pPr>
        <w:ind w:firstLine="560"/>
        <w:rPr>
          <w:rFonts w:ascii="宋体" w:hAnsi="宋体" w:cs="宋体"/>
          <w:color w:val="000000"/>
          <w:sz w:val="28"/>
          <w:szCs w:val="28"/>
        </w:rPr>
      </w:pPr>
      <w:r>
        <w:rPr>
          <w:rFonts w:hint="eastAsia" w:ascii="宋体" w:hAnsi="宋体" w:cs="宋体"/>
          <w:color w:val="000000"/>
          <w:sz w:val="28"/>
          <w:szCs w:val="28"/>
        </w:rPr>
        <w:t>投标商在谈判前密封并提交以下文件：</w:t>
      </w:r>
    </w:p>
    <w:p>
      <w:pPr>
        <w:ind w:firstLine="560"/>
        <w:rPr>
          <w:rFonts w:ascii="宋体" w:hAnsi="宋体" w:cs="宋体"/>
          <w:color w:val="000000"/>
          <w:sz w:val="28"/>
          <w:szCs w:val="28"/>
        </w:rPr>
      </w:pPr>
      <w:r>
        <w:rPr>
          <w:rFonts w:hint="eastAsia" w:ascii="宋体" w:hAnsi="宋体" w:cs="宋体"/>
          <w:color w:val="000000"/>
          <w:sz w:val="28"/>
          <w:szCs w:val="28"/>
        </w:rPr>
        <w:t>1）投标报价书一份加盖公司印章，单独密封；</w:t>
      </w:r>
    </w:p>
    <w:p>
      <w:pPr>
        <w:ind w:firstLine="560"/>
        <w:rPr>
          <w:rFonts w:ascii="宋体" w:hAnsi="宋体" w:cs="宋体"/>
          <w:color w:val="000000"/>
          <w:sz w:val="28"/>
          <w:szCs w:val="28"/>
        </w:rPr>
      </w:pPr>
      <w:r>
        <w:rPr>
          <w:rFonts w:hint="eastAsia" w:ascii="宋体" w:hAnsi="宋体" w:cs="宋体"/>
          <w:color w:val="000000"/>
          <w:sz w:val="28"/>
          <w:szCs w:val="28"/>
        </w:rPr>
        <w:t>2）投标文件一正三副本；</w:t>
      </w:r>
    </w:p>
    <w:p>
      <w:pPr>
        <w:ind w:firstLine="560"/>
        <w:rPr>
          <w:rFonts w:ascii="宋体" w:hAnsi="宋体" w:cs="宋体"/>
          <w:color w:val="000000"/>
          <w:sz w:val="28"/>
          <w:szCs w:val="28"/>
        </w:rPr>
      </w:pPr>
      <w:r>
        <w:rPr>
          <w:rFonts w:hint="eastAsia" w:ascii="宋体" w:hAnsi="宋体" w:cs="宋体"/>
          <w:color w:val="000000"/>
          <w:sz w:val="28"/>
          <w:szCs w:val="28"/>
        </w:rPr>
        <w:t>3）投标文件应附相关质量及服务承诺。</w:t>
      </w:r>
    </w:p>
    <w:p>
      <w:pPr>
        <w:ind w:firstLine="560"/>
        <w:rPr>
          <w:rFonts w:ascii="宋体" w:hAnsi="宋体" w:cs="宋体"/>
          <w:color w:val="000000"/>
          <w:sz w:val="28"/>
          <w:szCs w:val="28"/>
        </w:rPr>
      </w:pPr>
    </w:p>
    <w:p>
      <w:pPr>
        <w:ind w:firstLine="560"/>
        <w:rPr>
          <w:rFonts w:ascii="宋体" w:hAnsi="宋体" w:cs="宋体"/>
          <w:sz w:val="28"/>
          <w:szCs w:val="28"/>
        </w:rPr>
      </w:pPr>
      <w:r>
        <w:rPr>
          <w:rFonts w:hint="eastAsia" w:ascii="宋体" w:hAnsi="宋体" w:cs="宋体"/>
          <w:sz w:val="28"/>
          <w:szCs w:val="28"/>
        </w:rPr>
        <w:t>询价地点及时间：</w:t>
      </w:r>
    </w:p>
    <w:p>
      <w:pPr>
        <w:ind w:firstLine="560"/>
        <w:rPr>
          <w:rFonts w:ascii="宋体" w:hAnsi="宋体" w:cs="宋体"/>
          <w:sz w:val="28"/>
          <w:szCs w:val="28"/>
        </w:rPr>
      </w:pPr>
      <w:r>
        <w:rPr>
          <w:rFonts w:hint="eastAsia" w:ascii="宋体" w:hAnsi="宋体" w:cs="宋体"/>
          <w:sz w:val="28"/>
          <w:szCs w:val="28"/>
        </w:rPr>
        <w:t>地点：南京市江宁医院湖山路院区3号楼7楼（江宁区湖山路169号）</w:t>
      </w:r>
    </w:p>
    <w:p>
      <w:pPr>
        <w:ind w:firstLine="560"/>
        <w:rPr>
          <w:rFonts w:ascii="宋体" w:hAnsi="宋体" w:cs="宋体"/>
          <w:color w:val="FF0000"/>
          <w:sz w:val="28"/>
          <w:szCs w:val="28"/>
        </w:rPr>
      </w:pPr>
      <w:r>
        <w:rPr>
          <w:rFonts w:hint="eastAsia" w:ascii="宋体" w:hAnsi="宋体" w:cs="宋体"/>
          <w:sz w:val="28"/>
          <w:szCs w:val="28"/>
        </w:rPr>
        <w:t>时间：2021年10月 2</w:t>
      </w:r>
      <w:r>
        <w:rPr>
          <w:rFonts w:hint="eastAsia" w:ascii="宋体" w:hAnsi="宋体" w:cs="宋体"/>
          <w:sz w:val="28"/>
          <w:szCs w:val="28"/>
          <w:lang w:val="en-US" w:eastAsia="zh-CN"/>
        </w:rPr>
        <w:t>9</w:t>
      </w:r>
      <w:bookmarkStart w:id="8" w:name="_GoBack"/>
      <w:bookmarkEnd w:id="8"/>
      <w:r>
        <w:rPr>
          <w:rFonts w:hint="eastAsia" w:ascii="宋体" w:hAnsi="宋体" w:cs="宋体"/>
          <w:sz w:val="28"/>
          <w:szCs w:val="28"/>
        </w:rPr>
        <w:t>号下午2:30</w:t>
      </w:r>
      <w:r>
        <w:rPr>
          <w:rFonts w:hint="eastAsia" w:ascii="宋体" w:hAnsi="宋体" w:cs="宋体"/>
          <w:color w:val="FF0000"/>
          <w:sz w:val="28"/>
          <w:szCs w:val="28"/>
        </w:rPr>
        <w:t xml:space="preserve">  </w:t>
      </w:r>
      <w:r>
        <w:rPr>
          <w:rFonts w:ascii="宋体" w:hAnsi="宋体" w:cs="宋体"/>
          <w:color w:val="FF0000"/>
          <w:sz w:val="28"/>
          <w:szCs w:val="28"/>
        </w:rPr>
        <w:t xml:space="preserve"> </w:t>
      </w:r>
    </w:p>
    <w:p>
      <w:pPr>
        <w:ind w:firstLine="560"/>
        <w:rPr>
          <w:rFonts w:ascii="宋体" w:hAnsi="宋体" w:cs="宋体"/>
          <w:color w:val="000000"/>
          <w:sz w:val="28"/>
          <w:szCs w:val="28"/>
        </w:rPr>
      </w:pPr>
    </w:p>
    <w:p>
      <w:pPr>
        <w:ind w:firstLine="560"/>
        <w:rPr>
          <w:rFonts w:ascii="宋体" w:hAnsi="宋体" w:cs="宋体"/>
          <w:color w:val="000000"/>
          <w:sz w:val="28"/>
          <w:szCs w:val="28"/>
        </w:rPr>
      </w:pPr>
      <w:r>
        <w:rPr>
          <w:rFonts w:hint="eastAsia" w:ascii="宋体" w:hAnsi="宋体" w:cs="宋体"/>
          <w:color w:val="000000"/>
          <w:sz w:val="28"/>
          <w:szCs w:val="28"/>
        </w:rPr>
        <w:t>通讯联络事宜：</w:t>
      </w:r>
    </w:p>
    <w:p>
      <w:pPr>
        <w:ind w:firstLine="560"/>
        <w:rPr>
          <w:rFonts w:ascii="宋体" w:hAnsi="宋体" w:cs="宋体"/>
          <w:color w:val="000000"/>
          <w:sz w:val="28"/>
          <w:szCs w:val="28"/>
        </w:rPr>
      </w:pPr>
      <w:r>
        <w:rPr>
          <w:rFonts w:hint="eastAsia" w:ascii="宋体" w:hAnsi="宋体" w:cs="宋体"/>
          <w:color w:val="000000"/>
          <w:sz w:val="28"/>
          <w:szCs w:val="28"/>
        </w:rPr>
        <w:t xml:space="preserve">联系人：熊老师 </w:t>
      </w:r>
    </w:p>
    <w:p>
      <w:pPr>
        <w:ind w:firstLine="560"/>
        <w:rPr>
          <w:rFonts w:ascii="宋体" w:hAnsi="宋体" w:cs="宋体"/>
          <w:color w:val="000000"/>
          <w:sz w:val="28"/>
          <w:szCs w:val="28"/>
        </w:rPr>
      </w:pPr>
      <w:r>
        <w:rPr>
          <w:rFonts w:hint="eastAsia" w:ascii="宋体" w:hAnsi="宋体" w:cs="宋体"/>
          <w:color w:val="000000"/>
          <w:sz w:val="28"/>
          <w:szCs w:val="28"/>
        </w:rPr>
        <w:t>电  话 ：13645153881</w:t>
      </w:r>
    </w:p>
    <w:p>
      <w:pPr>
        <w:ind w:firstLine="480"/>
        <w:rPr>
          <w:rFonts w:ascii="宋体" w:hAnsi="宋体" w:cs="宋体"/>
          <w:color w:val="000000"/>
          <w:sz w:val="28"/>
          <w:szCs w:val="28"/>
        </w:rPr>
      </w:pPr>
    </w:p>
    <w:p>
      <w:pPr>
        <w:ind w:firstLine="602"/>
        <w:jc w:val="center"/>
        <w:rPr>
          <w:rFonts w:ascii="宋体" w:hAnsi="宋体" w:cs="宋体"/>
          <w:b/>
          <w:bCs/>
          <w:color w:val="000000"/>
          <w:sz w:val="28"/>
          <w:szCs w:val="28"/>
        </w:rPr>
      </w:pPr>
    </w:p>
    <w:p>
      <w:pPr>
        <w:ind w:firstLine="602"/>
        <w:jc w:val="center"/>
        <w:rPr>
          <w:rFonts w:ascii="宋体" w:hAnsi="宋体" w:cs="宋体"/>
          <w:b/>
          <w:bCs/>
          <w:color w:val="000000"/>
          <w:sz w:val="28"/>
          <w:szCs w:val="28"/>
        </w:rPr>
      </w:pPr>
    </w:p>
    <w:p>
      <w:pPr>
        <w:ind w:firstLine="602"/>
        <w:rPr>
          <w:rFonts w:ascii="宋体" w:hAnsi="宋体" w:cs="宋体"/>
          <w:b/>
          <w:bCs/>
          <w:color w:val="000000"/>
          <w:sz w:val="28"/>
          <w:szCs w:val="28"/>
        </w:rPr>
      </w:pPr>
    </w:p>
    <w:p>
      <w:pPr>
        <w:pStyle w:val="2"/>
        <w:rPr>
          <w:rFonts w:ascii="宋体" w:hAnsi="宋体" w:eastAsia="宋体"/>
          <w:b/>
          <w:sz w:val="28"/>
          <w:szCs w:val="28"/>
        </w:rPr>
      </w:pPr>
      <w:r>
        <w:rPr>
          <w:rFonts w:hint="eastAsia" w:ascii="宋体" w:hAnsi="宋体" w:eastAsia="宋体"/>
          <w:b/>
          <w:sz w:val="28"/>
          <w:szCs w:val="28"/>
        </w:rPr>
        <w:t>采购需求</w:t>
      </w:r>
    </w:p>
    <w:p>
      <w:pPr>
        <w:pStyle w:val="4"/>
        <w:rPr>
          <w:rFonts w:ascii="宋体" w:hAnsi="宋体" w:eastAsia="宋体"/>
          <w:b w:val="0"/>
          <w:sz w:val="28"/>
          <w:szCs w:val="28"/>
        </w:rPr>
      </w:pPr>
      <w:r>
        <w:rPr>
          <w:rFonts w:hint="eastAsia" w:ascii="宋体" w:hAnsi="宋体" w:eastAsia="宋体"/>
          <w:b w:val="0"/>
          <w:sz w:val="28"/>
          <w:szCs w:val="28"/>
        </w:rPr>
        <w:t>项目综述</w:t>
      </w:r>
    </w:p>
    <w:p>
      <w:pPr>
        <w:ind w:firstLine="560"/>
        <w:rPr>
          <w:rFonts w:ascii="宋体" w:hAnsi="宋体" w:cs="宋体"/>
          <w:sz w:val="28"/>
          <w:szCs w:val="28"/>
        </w:rPr>
      </w:pPr>
      <w:r>
        <w:rPr>
          <w:rFonts w:hint="eastAsia" w:ascii="宋体" w:hAnsi="宋体" w:cs="宋体"/>
          <w:color w:val="000000"/>
          <w:sz w:val="28"/>
          <w:szCs w:val="28"/>
        </w:rPr>
        <w:t>项目名称：南京江宁医院DRG智能管理系统（一期）采购项目</w:t>
      </w:r>
    </w:p>
    <w:p>
      <w:pPr>
        <w:pStyle w:val="4"/>
        <w:rPr>
          <w:rFonts w:ascii="宋体" w:hAnsi="宋体" w:eastAsia="宋体"/>
          <w:b w:val="0"/>
          <w:sz w:val="28"/>
          <w:szCs w:val="28"/>
        </w:rPr>
      </w:pPr>
      <w:bookmarkStart w:id="0" w:name="_Toc41316315"/>
      <w:r>
        <w:rPr>
          <w:rFonts w:ascii="宋体" w:hAnsi="宋体" w:eastAsia="宋体"/>
          <w:b w:val="0"/>
          <w:sz w:val="28"/>
          <w:szCs w:val="28"/>
        </w:rPr>
        <w:t>项目背景及必要性</w:t>
      </w:r>
      <w:bookmarkEnd w:id="0"/>
    </w:p>
    <w:p>
      <w:pPr>
        <w:ind w:firstLine="560"/>
        <w:rPr>
          <w:rFonts w:ascii="宋体" w:hAnsi="宋体" w:cs="宋体"/>
          <w:color w:val="000000"/>
          <w:sz w:val="28"/>
          <w:szCs w:val="28"/>
        </w:rPr>
      </w:pPr>
      <w:bookmarkStart w:id="1" w:name="_Toc41316316"/>
      <w:r>
        <w:rPr>
          <w:rFonts w:hint="eastAsia" w:ascii="宋体" w:hAnsi="宋体" w:cs="宋体"/>
          <w:color w:val="000000"/>
          <w:sz w:val="28"/>
          <w:szCs w:val="28"/>
        </w:rPr>
        <w:t>建设医院医保DRG管理系统软件有利于帮助医院构建一体化、全方位的医疗质量与运用管控体系，可根据国家和江苏省的医保支付方式改革，及南京市卫生信息化建设相关的政策和文件精神要求，在保障医疗质量有效控制的基础上，通过信息化的服务手段防范医保拒付或高于支付标准所造成医院无效成本增加的风险，有利于推动医院实施精益化成本核算与成本优化的管理体系，从而减少无效的医疗费用支出，通过精细化运用管理带动效益提升与服务能力升级，进而实现院内信息系统完善、病案质量达标、诊疗流程规范、管理队伍精干、协作机制健全，确保医院在DRG支付方式下，实现医保费用结算水平良好，医院整体经济运营平稳。</w:t>
      </w:r>
    </w:p>
    <w:p>
      <w:pPr>
        <w:pStyle w:val="4"/>
        <w:rPr>
          <w:rFonts w:ascii="宋体" w:hAnsi="宋体" w:eastAsia="宋体"/>
          <w:b w:val="0"/>
          <w:sz w:val="28"/>
          <w:szCs w:val="28"/>
        </w:rPr>
      </w:pPr>
      <w:r>
        <w:rPr>
          <w:rFonts w:ascii="宋体" w:hAnsi="宋体" w:eastAsia="宋体"/>
          <w:b w:val="0"/>
          <w:sz w:val="28"/>
          <w:szCs w:val="28"/>
        </w:rPr>
        <w:t>项目立项依据</w:t>
      </w:r>
      <w:bookmarkEnd w:id="1"/>
    </w:p>
    <w:p>
      <w:pPr>
        <w:ind w:firstLine="560"/>
        <w:rPr>
          <w:rFonts w:ascii="宋体" w:hAnsi="宋体" w:cs="宋体"/>
          <w:color w:val="000000"/>
          <w:sz w:val="28"/>
          <w:szCs w:val="28"/>
        </w:rPr>
      </w:pPr>
      <w:r>
        <w:rPr>
          <w:rFonts w:hint="eastAsia" w:ascii="宋体" w:hAnsi="宋体" w:cs="宋体"/>
          <w:color w:val="000000"/>
          <w:sz w:val="28"/>
          <w:szCs w:val="28"/>
        </w:rPr>
        <w:t>《省政府办公厅关于进一步深化基本医疗保险支付方式改革的实施意见》中明确指出：根据疾病病情严重程度、治疗方法复杂程度和实际资源消耗水平等进行病种分组，并结合实际确定和调整完善各组之间的相对比价关系。可以疾病诊断相关分组技术为支撑进行医疗机构诊疗成本与疗效测量评价，加强不同医疗机构同一病种组间的横向比较，利用评价结果完善医保付费机制，促进医疗机构提升绩效、控制费用。加快提升医保精细化管理水平，逐步将疾病诊断相关分组用于实际付费并扩大应用范围。疾病诊断相关分组付费标准包括医保基金和个人付费在内的全部医疗费用。</w:t>
      </w:r>
    </w:p>
    <w:p>
      <w:pPr>
        <w:ind w:firstLine="560"/>
        <w:rPr>
          <w:rFonts w:ascii="宋体" w:hAnsi="宋体" w:cs="宋体"/>
          <w:color w:val="000000"/>
          <w:sz w:val="28"/>
          <w:szCs w:val="28"/>
        </w:rPr>
      </w:pPr>
      <w:r>
        <w:rPr>
          <w:rFonts w:hint="eastAsia" w:ascii="宋体" w:hAnsi="宋体" w:cs="宋体"/>
          <w:color w:val="000000"/>
          <w:sz w:val="28"/>
          <w:szCs w:val="28"/>
        </w:rPr>
        <w:t>《江苏省医疗保障局关于印发医保基金监管“两试点一示范”工作方案的通知》中明确指出：在开展按疾病诊断相关分组（DRG）付费国家试点的地区和开展基于大数据的病种分值付费的地区，运用智能监控系统，加强对临床行为的过程监控，丰富大数据分析比较维度，提升监控效果；推广视频监控、人脸识别等新技术应用，开展药品进销存适时管理，完善医保基金风控体系。</w:t>
      </w:r>
    </w:p>
    <w:p>
      <w:pPr>
        <w:ind w:firstLine="560"/>
        <w:rPr>
          <w:rFonts w:ascii="宋体" w:hAnsi="宋体" w:cs="宋体"/>
          <w:color w:val="000000"/>
          <w:sz w:val="28"/>
          <w:szCs w:val="28"/>
        </w:rPr>
      </w:pPr>
      <w:r>
        <w:rPr>
          <w:rFonts w:hint="eastAsia" w:ascii="宋体" w:hAnsi="宋体" w:cs="宋体"/>
          <w:color w:val="000000"/>
          <w:sz w:val="28"/>
          <w:szCs w:val="28"/>
        </w:rPr>
        <w:t>建设医院综合管理评价服务体系有利于帮助医院构建一体化、全方位的医疗质量与运用管控体系，在保障医疗质量有效控制的基础上，通过信息化的服务手段防范医保拒付或高于支付标准所造成医院无效成本增加的风险，有利于推动医院实施精益化成本核算与成本优化的管理体系，从而减少无效的医疗费用支出，通过精细化运用管理带动效益提升与服务能力升级。</w:t>
      </w:r>
    </w:p>
    <w:p>
      <w:pPr>
        <w:pStyle w:val="19"/>
        <w:ind w:firstLine="480"/>
        <w:rPr>
          <w:rFonts w:ascii="宋体" w:hAnsi="宋体"/>
          <w:sz w:val="28"/>
          <w:szCs w:val="28"/>
        </w:rPr>
      </w:pPr>
    </w:p>
    <w:p>
      <w:pPr>
        <w:ind w:left="480"/>
        <w:rPr>
          <w:rFonts w:ascii="宋体" w:hAnsi="宋体"/>
          <w:sz w:val="28"/>
          <w:szCs w:val="28"/>
        </w:rPr>
      </w:pPr>
      <w:bookmarkStart w:id="2" w:name="_Toc41316317"/>
    </w:p>
    <w:p>
      <w:pPr>
        <w:pStyle w:val="2"/>
        <w:rPr>
          <w:rFonts w:ascii="宋体" w:hAnsi="宋体" w:eastAsia="宋体"/>
          <w:sz w:val="28"/>
          <w:szCs w:val="28"/>
        </w:rPr>
        <w:sectPr>
          <w:headerReference r:id="rId7" w:type="first"/>
          <w:footerReference r:id="rId10" w:type="first"/>
          <w:headerReference r:id="rId5" w:type="default"/>
          <w:footerReference r:id="rId8" w:type="default"/>
          <w:headerReference r:id="rId6" w:type="even"/>
          <w:footerReference r:id="rId9" w:type="even"/>
          <w:pgSz w:w="11907" w:h="16840"/>
          <w:pgMar w:top="1417" w:right="1701" w:bottom="1134" w:left="1701" w:header="851" w:footer="850" w:gutter="0"/>
          <w:cols w:space="0" w:num="1"/>
          <w:docGrid w:type="lines" w:linePitch="332" w:charSpace="0"/>
        </w:sectPr>
      </w:pPr>
    </w:p>
    <w:p>
      <w:pPr>
        <w:pStyle w:val="2"/>
        <w:rPr>
          <w:rFonts w:ascii="宋体" w:hAnsi="宋体" w:eastAsia="宋体"/>
          <w:b/>
          <w:sz w:val="28"/>
          <w:szCs w:val="28"/>
        </w:rPr>
      </w:pPr>
      <w:r>
        <w:rPr>
          <w:rFonts w:ascii="宋体" w:hAnsi="宋体" w:eastAsia="宋体"/>
          <w:b/>
          <w:sz w:val="28"/>
          <w:szCs w:val="28"/>
        </w:rPr>
        <w:t>项目内容</w:t>
      </w:r>
      <w:bookmarkEnd w:id="2"/>
    </w:p>
    <w:p>
      <w:pPr>
        <w:pStyle w:val="4"/>
        <w:rPr>
          <w:rFonts w:ascii="宋体" w:hAnsi="宋体" w:eastAsia="宋体"/>
          <w:sz w:val="28"/>
          <w:szCs w:val="28"/>
        </w:rPr>
      </w:pPr>
      <w:bookmarkStart w:id="3" w:name="_Toc41316318"/>
      <w:r>
        <w:rPr>
          <w:rFonts w:ascii="宋体" w:hAnsi="宋体" w:eastAsia="宋体"/>
          <w:sz w:val="28"/>
          <w:szCs w:val="28"/>
        </w:rPr>
        <w:t>项目实施内容</w:t>
      </w:r>
      <w:bookmarkEnd w:id="3"/>
    </w:p>
    <w:p>
      <w:pPr>
        <w:pStyle w:val="4"/>
        <w:rPr>
          <w:rFonts w:ascii="宋体" w:hAnsi="宋体" w:eastAsia="宋体"/>
          <w:sz w:val="28"/>
          <w:szCs w:val="28"/>
        </w:rPr>
      </w:pPr>
      <w:bookmarkStart w:id="4" w:name="_Hlk80975955"/>
      <w:r>
        <w:rPr>
          <w:rFonts w:hint="eastAsia" w:ascii="宋体" w:hAnsi="宋体" w:eastAsia="宋体"/>
          <w:sz w:val="28"/>
          <w:szCs w:val="28"/>
        </w:rPr>
        <w:t>DRG分组智能检测预警系统</w:t>
      </w:r>
    </w:p>
    <w:tbl>
      <w:tblPr>
        <w:tblStyle w:val="28"/>
        <w:tblW w:w="48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3240"/>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pct"/>
            <w:shd w:val="clear" w:color="auto" w:fill="auto"/>
          </w:tcPr>
          <w:p>
            <w:pPr>
              <w:rPr>
                <w:rFonts w:ascii="宋体" w:hAnsi="宋体"/>
                <w:b/>
                <w:sz w:val="28"/>
                <w:szCs w:val="28"/>
              </w:rPr>
            </w:pPr>
            <w:r>
              <w:rPr>
                <w:rFonts w:hint="eastAsia" w:ascii="宋体" w:hAnsi="宋体"/>
                <w:b/>
                <w:sz w:val="28"/>
                <w:szCs w:val="28"/>
              </w:rPr>
              <w:t>序号</w:t>
            </w:r>
          </w:p>
        </w:tc>
        <w:tc>
          <w:tcPr>
            <w:tcW w:w="1912" w:type="pct"/>
            <w:shd w:val="clear" w:color="auto" w:fill="auto"/>
            <w:vAlign w:val="center"/>
          </w:tcPr>
          <w:p>
            <w:pPr>
              <w:rPr>
                <w:rFonts w:ascii="宋体" w:hAnsi="宋体"/>
                <w:b/>
                <w:sz w:val="28"/>
                <w:szCs w:val="28"/>
              </w:rPr>
            </w:pPr>
            <w:r>
              <w:rPr>
                <w:rFonts w:hint="eastAsia" w:ascii="宋体" w:hAnsi="宋体"/>
                <w:b/>
                <w:sz w:val="28"/>
                <w:szCs w:val="28"/>
              </w:rPr>
              <w:t>子系统</w:t>
            </w:r>
          </w:p>
        </w:tc>
        <w:tc>
          <w:tcPr>
            <w:tcW w:w="2594" w:type="pct"/>
            <w:shd w:val="clear" w:color="auto" w:fill="auto"/>
            <w:vAlign w:val="center"/>
          </w:tcPr>
          <w:p>
            <w:pPr>
              <w:ind w:firstLine="482"/>
              <w:jc w:val="center"/>
              <w:rPr>
                <w:rFonts w:ascii="宋体" w:hAnsi="宋体"/>
                <w:b/>
                <w:sz w:val="28"/>
                <w:szCs w:val="28"/>
              </w:rPr>
            </w:pPr>
            <w:r>
              <w:rPr>
                <w:rFonts w:hint="eastAsia" w:ascii="宋体" w:hAnsi="宋体"/>
                <w:b/>
                <w:sz w:val="28"/>
                <w:szCs w:val="28"/>
              </w:rPr>
              <w:t>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494" w:type="pct"/>
            <w:vMerge w:val="restart"/>
            <w:shd w:val="clear" w:color="auto" w:fill="auto"/>
            <w:vAlign w:val="center"/>
          </w:tcPr>
          <w:p>
            <w:pPr>
              <w:ind w:firstLine="232" w:firstLineChars="83"/>
              <w:rPr>
                <w:rFonts w:ascii="宋体" w:hAnsi="宋体"/>
                <w:sz w:val="28"/>
                <w:szCs w:val="28"/>
              </w:rPr>
            </w:pPr>
            <w:r>
              <w:rPr>
                <w:rFonts w:hint="eastAsia" w:ascii="宋体" w:hAnsi="宋体"/>
                <w:sz w:val="28"/>
                <w:szCs w:val="28"/>
              </w:rPr>
              <w:t>1</w:t>
            </w:r>
          </w:p>
        </w:tc>
        <w:tc>
          <w:tcPr>
            <w:tcW w:w="1912" w:type="pct"/>
            <w:vMerge w:val="restart"/>
            <w:shd w:val="clear" w:color="auto" w:fill="auto"/>
            <w:vAlign w:val="center"/>
          </w:tcPr>
          <w:p>
            <w:pPr>
              <w:rPr>
                <w:rFonts w:ascii="宋体" w:hAnsi="宋体"/>
                <w:sz w:val="28"/>
                <w:szCs w:val="28"/>
              </w:rPr>
            </w:pPr>
            <w:r>
              <w:rPr>
                <w:rFonts w:hint="eastAsia" w:ascii="宋体" w:hAnsi="宋体"/>
                <w:sz w:val="28"/>
                <w:szCs w:val="28"/>
              </w:rPr>
              <w:t>在院病例D</w:t>
            </w:r>
            <w:r>
              <w:rPr>
                <w:rFonts w:ascii="宋体" w:hAnsi="宋体"/>
                <w:sz w:val="28"/>
                <w:szCs w:val="28"/>
              </w:rPr>
              <w:t>RG分组预测预警</w:t>
            </w:r>
          </w:p>
        </w:tc>
        <w:tc>
          <w:tcPr>
            <w:tcW w:w="2594" w:type="pct"/>
            <w:shd w:val="clear" w:color="auto" w:fill="auto"/>
            <w:vAlign w:val="center"/>
          </w:tcPr>
          <w:p>
            <w:pPr>
              <w:ind w:firstLine="480"/>
              <w:rPr>
                <w:rFonts w:ascii="宋体" w:hAnsi="宋体"/>
                <w:sz w:val="28"/>
                <w:szCs w:val="28"/>
              </w:rPr>
            </w:pPr>
            <w:r>
              <w:rPr>
                <w:rFonts w:hint="eastAsia" w:ascii="宋体" w:hAnsi="宋体"/>
                <w:sz w:val="28"/>
                <w:szCs w:val="28"/>
              </w:rPr>
              <w:t>病案信息查询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shd w:val="clear" w:color="auto" w:fill="auto"/>
            <w:vAlign w:val="center"/>
          </w:tcPr>
          <w:p>
            <w:pPr>
              <w:ind w:firstLine="480"/>
              <w:rPr>
                <w:rFonts w:ascii="宋体" w:hAnsi="宋体"/>
                <w:sz w:val="28"/>
                <w:szCs w:val="28"/>
              </w:rPr>
            </w:pPr>
            <w:r>
              <w:rPr>
                <w:rFonts w:hint="eastAsia" w:ascii="宋体" w:hAnsi="宋体"/>
                <w:sz w:val="28"/>
                <w:szCs w:val="28"/>
              </w:rPr>
              <w:t>★实时动态分组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shd w:val="clear" w:color="auto" w:fill="auto"/>
            <w:vAlign w:val="center"/>
          </w:tcPr>
          <w:p>
            <w:pPr>
              <w:ind w:firstLine="480"/>
              <w:rPr>
                <w:rFonts w:ascii="宋体" w:hAnsi="宋体"/>
                <w:sz w:val="28"/>
                <w:szCs w:val="28"/>
              </w:rPr>
            </w:pPr>
            <w:r>
              <w:rPr>
                <w:rFonts w:hint="eastAsia" w:ascii="宋体" w:hAnsi="宋体"/>
                <w:sz w:val="28"/>
                <w:szCs w:val="28"/>
              </w:rPr>
              <w:t>▲目标预测分组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shd w:val="clear" w:color="auto" w:fill="auto"/>
            <w:vAlign w:val="center"/>
          </w:tcPr>
          <w:p>
            <w:pPr>
              <w:ind w:firstLine="480"/>
              <w:rPr>
                <w:rFonts w:ascii="宋体" w:hAnsi="宋体"/>
                <w:sz w:val="28"/>
                <w:szCs w:val="28"/>
              </w:rPr>
            </w:pPr>
            <w:r>
              <w:rPr>
                <w:rFonts w:hint="eastAsia" w:ascii="宋体" w:hAnsi="宋体"/>
                <w:sz w:val="28"/>
                <w:szCs w:val="28"/>
              </w:rPr>
              <w:t>大数据相似入组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94" w:type="pct"/>
            <w:vMerge w:val="restart"/>
            <w:shd w:val="clear" w:color="auto" w:fill="auto"/>
            <w:vAlign w:val="center"/>
          </w:tcPr>
          <w:p>
            <w:pPr>
              <w:ind w:firstLine="232" w:firstLineChars="83"/>
              <w:rPr>
                <w:rFonts w:ascii="宋体" w:hAnsi="宋体"/>
                <w:sz w:val="28"/>
                <w:szCs w:val="28"/>
              </w:rPr>
            </w:pPr>
            <w:r>
              <w:rPr>
                <w:rFonts w:hint="eastAsia" w:ascii="宋体" w:hAnsi="宋体"/>
                <w:sz w:val="28"/>
                <w:szCs w:val="28"/>
              </w:rPr>
              <w:t>2</w:t>
            </w:r>
          </w:p>
        </w:tc>
        <w:tc>
          <w:tcPr>
            <w:tcW w:w="1912" w:type="pct"/>
            <w:vMerge w:val="restart"/>
            <w:shd w:val="clear" w:color="auto" w:fill="auto"/>
            <w:vAlign w:val="center"/>
          </w:tcPr>
          <w:p>
            <w:pPr>
              <w:rPr>
                <w:rFonts w:ascii="宋体" w:hAnsi="宋体"/>
                <w:sz w:val="28"/>
                <w:szCs w:val="28"/>
              </w:rPr>
            </w:pPr>
            <w:r>
              <w:rPr>
                <w:rFonts w:hint="eastAsia" w:ascii="宋体" w:hAnsi="宋体"/>
                <w:sz w:val="28"/>
                <w:szCs w:val="28"/>
              </w:rPr>
              <w:t>★大数据模拟分组</w:t>
            </w:r>
          </w:p>
        </w:tc>
        <w:tc>
          <w:tcPr>
            <w:tcW w:w="2594" w:type="pct"/>
            <w:shd w:val="clear" w:color="auto" w:fill="auto"/>
            <w:vAlign w:val="center"/>
          </w:tcPr>
          <w:p>
            <w:pPr>
              <w:ind w:firstLine="480"/>
              <w:rPr>
                <w:rFonts w:ascii="宋体" w:hAnsi="宋体"/>
                <w:sz w:val="28"/>
                <w:szCs w:val="28"/>
              </w:rPr>
            </w:pPr>
            <w:r>
              <w:rPr>
                <w:rFonts w:hint="eastAsia" w:ascii="宋体" w:hAnsi="宋体"/>
                <w:sz w:val="28"/>
                <w:szCs w:val="28"/>
              </w:rPr>
              <w:t>病案信息设置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shd w:val="clear" w:color="auto" w:fill="auto"/>
            <w:vAlign w:val="center"/>
          </w:tcPr>
          <w:p>
            <w:pPr>
              <w:ind w:firstLine="480"/>
              <w:rPr>
                <w:rFonts w:ascii="宋体" w:hAnsi="宋体"/>
                <w:sz w:val="28"/>
                <w:szCs w:val="28"/>
              </w:rPr>
            </w:pPr>
            <w:r>
              <w:rPr>
                <w:rFonts w:hint="eastAsia" w:ascii="宋体" w:hAnsi="宋体"/>
                <w:sz w:val="28"/>
                <w:szCs w:val="28"/>
              </w:rPr>
              <w:t>大数据入组分析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94" w:type="pct"/>
            <w:shd w:val="clear" w:color="auto" w:fill="auto"/>
            <w:vAlign w:val="center"/>
          </w:tcPr>
          <w:p>
            <w:pPr>
              <w:ind w:firstLine="232" w:firstLineChars="83"/>
              <w:rPr>
                <w:rFonts w:ascii="宋体" w:hAnsi="宋体"/>
                <w:sz w:val="28"/>
                <w:szCs w:val="28"/>
              </w:rPr>
            </w:pPr>
            <w:r>
              <w:rPr>
                <w:rFonts w:hint="eastAsia" w:ascii="宋体" w:hAnsi="宋体"/>
                <w:sz w:val="28"/>
                <w:szCs w:val="28"/>
              </w:rPr>
              <w:t>3</w:t>
            </w:r>
          </w:p>
        </w:tc>
        <w:tc>
          <w:tcPr>
            <w:tcW w:w="1912" w:type="pct"/>
            <w:shd w:val="clear" w:color="auto" w:fill="auto"/>
            <w:vAlign w:val="center"/>
          </w:tcPr>
          <w:p>
            <w:pPr>
              <w:rPr>
                <w:rFonts w:ascii="宋体" w:hAnsi="宋体"/>
                <w:sz w:val="28"/>
                <w:szCs w:val="28"/>
              </w:rPr>
            </w:pPr>
            <w:r>
              <w:rPr>
                <w:rFonts w:hint="eastAsia" w:ascii="宋体" w:hAnsi="宋体"/>
                <w:sz w:val="28"/>
                <w:szCs w:val="28"/>
              </w:rPr>
              <w:t>同病组对比分析</w:t>
            </w:r>
          </w:p>
        </w:tc>
        <w:tc>
          <w:tcPr>
            <w:tcW w:w="2594" w:type="pct"/>
            <w:shd w:val="clear" w:color="auto" w:fill="auto"/>
            <w:vAlign w:val="center"/>
          </w:tcPr>
          <w:p>
            <w:pPr>
              <w:ind w:firstLine="480"/>
              <w:rPr>
                <w:rFonts w:ascii="宋体" w:hAnsi="宋体"/>
                <w:sz w:val="28"/>
                <w:szCs w:val="28"/>
              </w:rPr>
            </w:pPr>
            <w:r>
              <w:rPr>
                <w:rFonts w:hint="eastAsia" w:ascii="宋体" w:hAnsi="宋体"/>
                <w:sz w:val="28"/>
                <w:szCs w:val="28"/>
              </w:rPr>
              <w:t>▲出院病例数据分析</w:t>
            </w:r>
          </w:p>
        </w:tc>
      </w:tr>
    </w:tbl>
    <w:p>
      <w:pPr>
        <w:pStyle w:val="6"/>
        <w:rPr>
          <w:rFonts w:ascii="宋体" w:hAnsi="宋体" w:eastAsia="宋体"/>
          <w:sz w:val="28"/>
        </w:rPr>
      </w:pPr>
      <w:r>
        <w:rPr>
          <w:rFonts w:hint="eastAsia" w:ascii="宋体" w:hAnsi="宋体" w:eastAsia="宋体"/>
          <w:sz w:val="28"/>
        </w:rPr>
        <w:t>在院病例DRG分组预测预警</w:t>
      </w:r>
    </w:p>
    <w:p>
      <w:pPr>
        <w:pStyle w:val="7"/>
        <w:rPr>
          <w:rFonts w:ascii="宋体" w:hAnsi="宋体" w:eastAsia="宋体"/>
        </w:rPr>
      </w:pPr>
      <w:r>
        <w:rPr>
          <w:rFonts w:hint="eastAsia" w:ascii="宋体" w:hAnsi="宋体" w:eastAsia="宋体"/>
        </w:rPr>
        <w:t>病案信息查询</w:t>
      </w:r>
    </w:p>
    <w:p>
      <w:pPr>
        <w:ind w:firstLine="560" w:firstLineChars="200"/>
        <w:rPr>
          <w:rFonts w:ascii="宋体" w:hAnsi="宋体"/>
          <w:sz w:val="28"/>
          <w:szCs w:val="28"/>
        </w:rPr>
      </w:pPr>
      <w:r>
        <w:rPr>
          <w:rFonts w:hint="eastAsia" w:ascii="宋体" w:hAnsi="宋体"/>
          <w:sz w:val="28"/>
          <w:szCs w:val="28"/>
        </w:rPr>
        <w:t>病案信息体现在院病例的主要诊疗信息，对明细费用大类实时费用汇总及占比查询，展现明细分析详情，及时追溯超支科室或医师，并提供病例预警值结果。</w:t>
      </w:r>
    </w:p>
    <w:p>
      <w:pPr>
        <w:pStyle w:val="7"/>
        <w:rPr>
          <w:rFonts w:ascii="宋体" w:hAnsi="宋体" w:eastAsia="宋体"/>
        </w:rPr>
      </w:pPr>
      <w:r>
        <w:rPr>
          <w:rFonts w:hint="eastAsia" w:ascii="宋体" w:hAnsi="宋体" w:eastAsia="宋体"/>
        </w:rPr>
        <w:t>★实时动态分组</w:t>
      </w:r>
    </w:p>
    <w:p>
      <w:pPr>
        <w:ind w:firstLine="560" w:firstLineChars="200"/>
        <w:rPr>
          <w:rFonts w:ascii="宋体" w:hAnsi="宋体"/>
          <w:sz w:val="28"/>
          <w:szCs w:val="28"/>
        </w:rPr>
      </w:pPr>
      <w:r>
        <w:rPr>
          <w:rFonts w:hint="eastAsia" w:ascii="宋体" w:hAnsi="宋体"/>
          <w:sz w:val="28"/>
          <w:szCs w:val="28"/>
        </w:rPr>
        <w:t>根据住院的诊疗信息预测分组结果，并建立本地政策规则，应用算法实现模拟分配，形成分组和风险预警机制，通过数据可视化实现精细化管理。</w:t>
      </w:r>
    </w:p>
    <w:p>
      <w:pPr>
        <w:pStyle w:val="7"/>
        <w:rPr>
          <w:rFonts w:ascii="宋体" w:hAnsi="宋体" w:eastAsia="宋体"/>
        </w:rPr>
      </w:pPr>
      <w:r>
        <w:rPr>
          <w:rFonts w:hint="eastAsia" w:ascii="宋体" w:hAnsi="宋体" w:eastAsia="宋体"/>
        </w:rPr>
        <w:t>▲目标预测分组</w:t>
      </w:r>
    </w:p>
    <w:p>
      <w:pPr>
        <w:ind w:firstLine="560" w:firstLineChars="200"/>
        <w:rPr>
          <w:rFonts w:ascii="宋体" w:hAnsi="宋体"/>
          <w:sz w:val="28"/>
          <w:szCs w:val="28"/>
        </w:rPr>
      </w:pPr>
      <w:r>
        <w:rPr>
          <w:rFonts w:hint="eastAsia" w:ascii="宋体" w:hAnsi="宋体"/>
          <w:sz w:val="28"/>
          <w:szCs w:val="28"/>
        </w:rPr>
        <w:t>医生可通过临床经验，精准检索定位DRG编码和DRG名称，查看指定DRG分组所对应的标杆参考信息及模拟结算结果，与预测分组进行补充或对比。</w:t>
      </w:r>
    </w:p>
    <w:p>
      <w:pPr>
        <w:pStyle w:val="7"/>
        <w:rPr>
          <w:rFonts w:ascii="宋体" w:hAnsi="宋体" w:eastAsia="宋体"/>
        </w:rPr>
      </w:pPr>
      <w:r>
        <w:rPr>
          <w:rFonts w:hint="eastAsia" w:ascii="宋体" w:hAnsi="宋体" w:eastAsia="宋体"/>
        </w:rPr>
        <w:t>大数据相似入组</w:t>
      </w:r>
    </w:p>
    <w:p>
      <w:pPr>
        <w:ind w:firstLine="560" w:firstLineChars="200"/>
        <w:rPr>
          <w:rFonts w:ascii="宋体" w:hAnsi="宋体"/>
          <w:sz w:val="28"/>
          <w:szCs w:val="28"/>
        </w:rPr>
      </w:pPr>
      <w:r>
        <w:rPr>
          <w:rFonts w:hint="eastAsia" w:ascii="宋体" w:hAnsi="宋体"/>
          <w:sz w:val="28"/>
          <w:szCs w:val="28"/>
        </w:rPr>
        <w:t>列出现有诊疗信息下所有可能的入组结果（含未发生主手术时的所有手术操作入组结果）及主要的标杆值信息，并能够与D</w:t>
      </w:r>
      <w:r>
        <w:rPr>
          <w:rFonts w:ascii="宋体" w:hAnsi="宋体"/>
          <w:sz w:val="28"/>
          <w:szCs w:val="28"/>
        </w:rPr>
        <w:t>RG</w:t>
      </w:r>
      <w:r>
        <w:rPr>
          <w:rFonts w:hint="eastAsia" w:ascii="宋体" w:hAnsi="宋体"/>
          <w:sz w:val="28"/>
          <w:szCs w:val="28"/>
        </w:rPr>
        <w:t>目标预测分组功能关联应用。</w:t>
      </w:r>
    </w:p>
    <w:p>
      <w:pPr>
        <w:pStyle w:val="6"/>
        <w:rPr>
          <w:rFonts w:ascii="宋体" w:hAnsi="宋体" w:eastAsia="宋体"/>
          <w:sz w:val="28"/>
        </w:rPr>
      </w:pPr>
      <w:r>
        <w:rPr>
          <w:rFonts w:hint="eastAsia" w:ascii="宋体" w:hAnsi="宋体" w:eastAsia="宋体"/>
          <w:sz w:val="28"/>
        </w:rPr>
        <w:t>★大数据模拟分组</w:t>
      </w:r>
    </w:p>
    <w:p>
      <w:pPr>
        <w:pStyle w:val="6"/>
        <w:rPr>
          <w:rFonts w:ascii="宋体" w:hAnsi="宋体" w:eastAsia="宋体"/>
          <w:sz w:val="28"/>
        </w:rPr>
      </w:pPr>
      <w:r>
        <w:rPr>
          <w:rFonts w:hint="eastAsia" w:ascii="宋体" w:hAnsi="宋体" w:eastAsia="宋体"/>
          <w:sz w:val="28"/>
        </w:rPr>
        <w:t>病案信息设置</w:t>
      </w:r>
    </w:p>
    <w:p>
      <w:pPr>
        <w:ind w:firstLine="560" w:firstLineChars="200"/>
        <w:rPr>
          <w:rFonts w:ascii="宋体" w:hAnsi="宋体"/>
          <w:sz w:val="28"/>
          <w:szCs w:val="28"/>
        </w:rPr>
      </w:pPr>
      <w:r>
        <w:rPr>
          <w:rFonts w:hint="eastAsia" w:ascii="宋体" w:hAnsi="宋体"/>
          <w:sz w:val="28"/>
          <w:szCs w:val="28"/>
        </w:rPr>
        <w:t>含一键导入单条在院病例信息功能，并提供增加或修改病案信息权限。</w:t>
      </w:r>
    </w:p>
    <w:p>
      <w:pPr>
        <w:pStyle w:val="6"/>
        <w:rPr>
          <w:rFonts w:ascii="宋体" w:hAnsi="宋体" w:eastAsia="宋体"/>
          <w:sz w:val="28"/>
        </w:rPr>
      </w:pPr>
      <w:r>
        <w:rPr>
          <w:rFonts w:hint="eastAsia" w:ascii="宋体" w:hAnsi="宋体" w:eastAsia="宋体"/>
          <w:sz w:val="28"/>
        </w:rPr>
        <w:t>大数据入组分析</w:t>
      </w:r>
    </w:p>
    <w:p>
      <w:pPr>
        <w:ind w:firstLine="560" w:firstLineChars="200"/>
        <w:rPr>
          <w:rFonts w:ascii="宋体" w:hAnsi="宋体"/>
          <w:sz w:val="28"/>
          <w:szCs w:val="28"/>
        </w:rPr>
      </w:pPr>
      <w:r>
        <w:rPr>
          <w:rFonts w:hint="eastAsia" w:ascii="宋体" w:hAnsi="宋体"/>
          <w:sz w:val="28"/>
          <w:szCs w:val="28"/>
        </w:rPr>
        <w:t>对模拟数据进行大数据模拟入组分析，并提供推荐入组及各项分组结果的</w:t>
      </w:r>
      <w:r>
        <w:rPr>
          <w:rFonts w:ascii="宋体" w:hAnsi="宋体"/>
          <w:sz w:val="28"/>
          <w:szCs w:val="28"/>
        </w:rPr>
        <w:t>主要标杆</w:t>
      </w:r>
      <w:r>
        <w:rPr>
          <w:rFonts w:hint="eastAsia" w:ascii="宋体" w:hAnsi="宋体"/>
          <w:sz w:val="28"/>
          <w:szCs w:val="28"/>
        </w:rPr>
        <w:t>参考</w:t>
      </w:r>
      <w:r>
        <w:rPr>
          <w:rFonts w:ascii="宋体" w:hAnsi="宋体"/>
          <w:sz w:val="28"/>
          <w:szCs w:val="28"/>
        </w:rPr>
        <w:t>信息</w:t>
      </w:r>
      <w:r>
        <w:rPr>
          <w:rFonts w:hint="eastAsia" w:ascii="宋体" w:hAnsi="宋体"/>
          <w:sz w:val="28"/>
          <w:szCs w:val="28"/>
        </w:rPr>
        <w:t>。</w:t>
      </w:r>
    </w:p>
    <w:p>
      <w:pPr>
        <w:pStyle w:val="6"/>
        <w:rPr>
          <w:rFonts w:ascii="宋体" w:hAnsi="宋体" w:eastAsia="宋体"/>
          <w:sz w:val="28"/>
        </w:rPr>
      </w:pPr>
      <w:r>
        <w:rPr>
          <w:rFonts w:hint="eastAsia" w:ascii="宋体" w:hAnsi="宋体" w:eastAsia="宋体"/>
          <w:sz w:val="28"/>
        </w:rPr>
        <w:t>同病组对比分析</w:t>
      </w:r>
    </w:p>
    <w:p>
      <w:pPr>
        <w:pStyle w:val="7"/>
        <w:rPr>
          <w:rFonts w:ascii="宋体" w:hAnsi="宋体" w:eastAsia="宋体"/>
        </w:rPr>
      </w:pPr>
      <w:r>
        <w:rPr>
          <w:rFonts w:hint="eastAsia" w:ascii="宋体" w:hAnsi="宋体" w:eastAsia="宋体"/>
        </w:rPr>
        <w:t>▲出院病例数据分析</w:t>
      </w:r>
    </w:p>
    <w:p>
      <w:pPr>
        <w:ind w:firstLine="560" w:firstLineChars="200"/>
        <w:rPr>
          <w:rFonts w:hint="eastAsia" w:ascii="宋体" w:hAnsi="宋体"/>
          <w:sz w:val="28"/>
          <w:szCs w:val="28"/>
        </w:rPr>
      </w:pPr>
      <w:r>
        <w:rPr>
          <w:rFonts w:hint="eastAsia" w:ascii="宋体" w:hAnsi="宋体"/>
          <w:sz w:val="28"/>
          <w:szCs w:val="28"/>
        </w:rPr>
        <w:t>与</w:t>
      </w:r>
      <w:r>
        <w:rPr>
          <w:rFonts w:ascii="宋体" w:hAnsi="宋体"/>
          <w:sz w:val="28"/>
          <w:szCs w:val="28"/>
        </w:rPr>
        <w:t>实时动态分组结果联动</w:t>
      </w:r>
      <w:r>
        <w:rPr>
          <w:rFonts w:hint="eastAsia" w:ascii="宋体" w:hAnsi="宋体"/>
          <w:sz w:val="28"/>
          <w:szCs w:val="28"/>
        </w:rPr>
        <w:t>，展示相同病组下出院病例的总体结算差异分析及时间序列趋势分析。</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ascii="宋体" w:hAnsi="宋体"/>
          <w:sz w:val="28"/>
          <w:szCs w:val="28"/>
        </w:rPr>
      </w:pPr>
    </w:p>
    <w:p>
      <w:pPr>
        <w:pStyle w:val="5"/>
        <w:rPr>
          <w:rFonts w:ascii="宋体" w:hAnsi="宋体" w:eastAsia="宋体"/>
          <w:sz w:val="28"/>
          <w:szCs w:val="28"/>
        </w:rPr>
      </w:pPr>
      <w:r>
        <w:rPr>
          <w:rFonts w:hint="eastAsia" w:ascii="宋体" w:hAnsi="宋体" w:eastAsia="宋体"/>
          <w:sz w:val="28"/>
          <w:szCs w:val="28"/>
        </w:rPr>
        <w:t>DRG医院智能管理系统</w:t>
      </w:r>
    </w:p>
    <w:bookmarkEnd w:id="4"/>
    <w:tbl>
      <w:tblPr>
        <w:tblStyle w:val="2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41"/>
        <w:gridCol w:w="6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17" w:type="dxa"/>
            <w:shd w:val="clear" w:color="auto" w:fill="auto"/>
          </w:tcPr>
          <w:p>
            <w:pPr>
              <w:rPr>
                <w:rFonts w:ascii="宋体" w:hAnsi="宋体"/>
                <w:b/>
                <w:sz w:val="28"/>
                <w:szCs w:val="28"/>
              </w:rPr>
            </w:pPr>
            <w:r>
              <w:rPr>
                <w:rFonts w:hint="eastAsia" w:ascii="宋体" w:hAnsi="宋体"/>
                <w:b/>
                <w:sz w:val="28"/>
                <w:szCs w:val="28"/>
              </w:rPr>
              <w:t>序号</w:t>
            </w:r>
          </w:p>
        </w:tc>
        <w:tc>
          <w:tcPr>
            <w:tcW w:w="1641" w:type="dxa"/>
            <w:shd w:val="clear" w:color="auto" w:fill="auto"/>
          </w:tcPr>
          <w:p>
            <w:pPr>
              <w:rPr>
                <w:rFonts w:ascii="宋体" w:hAnsi="宋体"/>
                <w:b/>
                <w:sz w:val="28"/>
                <w:szCs w:val="28"/>
              </w:rPr>
            </w:pPr>
            <w:r>
              <w:rPr>
                <w:rFonts w:hint="eastAsia" w:ascii="宋体" w:hAnsi="宋体"/>
                <w:b/>
                <w:sz w:val="28"/>
                <w:szCs w:val="28"/>
              </w:rPr>
              <w:t>子系统</w:t>
            </w:r>
          </w:p>
        </w:tc>
        <w:tc>
          <w:tcPr>
            <w:tcW w:w="6155" w:type="dxa"/>
            <w:shd w:val="clear" w:color="auto" w:fill="auto"/>
          </w:tcPr>
          <w:p>
            <w:pPr>
              <w:ind w:firstLine="482"/>
              <w:jc w:val="center"/>
              <w:rPr>
                <w:rFonts w:ascii="宋体" w:hAnsi="宋体"/>
                <w:b/>
                <w:sz w:val="28"/>
                <w:szCs w:val="28"/>
              </w:rPr>
            </w:pPr>
            <w:r>
              <w:rPr>
                <w:rFonts w:hint="eastAsia" w:ascii="宋体" w:hAnsi="宋体"/>
                <w:b/>
                <w:sz w:val="28"/>
                <w:szCs w:val="28"/>
              </w:rPr>
              <w:t>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8" w:hRule="atLeast"/>
        </w:trPr>
        <w:tc>
          <w:tcPr>
            <w:tcW w:w="817" w:type="dxa"/>
            <w:shd w:val="clear" w:color="auto" w:fill="auto"/>
            <w:vAlign w:val="center"/>
          </w:tcPr>
          <w:p>
            <w:pPr>
              <w:ind w:firstLine="232" w:firstLineChars="83"/>
              <w:rPr>
                <w:rFonts w:ascii="宋体" w:hAnsi="宋体"/>
                <w:sz w:val="28"/>
                <w:szCs w:val="28"/>
              </w:rPr>
            </w:pPr>
            <w:r>
              <w:rPr>
                <w:rFonts w:hint="eastAsia" w:ascii="宋体" w:hAnsi="宋体"/>
                <w:sz w:val="28"/>
                <w:szCs w:val="28"/>
              </w:rPr>
              <w:t>1</w:t>
            </w:r>
          </w:p>
        </w:tc>
        <w:tc>
          <w:tcPr>
            <w:tcW w:w="1641" w:type="dxa"/>
            <w:shd w:val="clear" w:color="auto" w:fill="auto"/>
            <w:vAlign w:val="center"/>
          </w:tcPr>
          <w:p>
            <w:pPr>
              <w:rPr>
                <w:rFonts w:ascii="宋体" w:hAnsi="宋体"/>
                <w:sz w:val="28"/>
                <w:szCs w:val="28"/>
              </w:rPr>
            </w:pPr>
            <w:r>
              <w:rPr>
                <w:rFonts w:hint="eastAsia" w:ascii="宋体" w:hAnsi="宋体"/>
                <w:sz w:val="28"/>
                <w:szCs w:val="28"/>
              </w:rPr>
              <w:t>▲全局监控</w:t>
            </w:r>
          </w:p>
        </w:tc>
        <w:tc>
          <w:tcPr>
            <w:tcW w:w="6155" w:type="dxa"/>
            <w:shd w:val="clear" w:color="auto" w:fill="auto"/>
            <w:vAlign w:val="center"/>
          </w:tcPr>
          <w:p>
            <w:pPr>
              <w:ind w:firstLine="480"/>
              <w:rPr>
                <w:rFonts w:ascii="宋体" w:hAnsi="宋体"/>
                <w:sz w:val="28"/>
                <w:szCs w:val="28"/>
              </w:rPr>
            </w:pPr>
            <w:r>
              <w:rPr>
                <w:rFonts w:ascii="宋体" w:hAnsi="宋体"/>
                <w:sz w:val="28"/>
                <w:szCs w:val="28"/>
              </w:rPr>
              <w:t>分组效能分析</w:t>
            </w:r>
          </w:p>
          <w:p>
            <w:pPr>
              <w:ind w:firstLine="480"/>
              <w:rPr>
                <w:rFonts w:ascii="宋体" w:hAnsi="宋体"/>
                <w:sz w:val="28"/>
                <w:szCs w:val="28"/>
              </w:rPr>
            </w:pPr>
            <w:r>
              <w:rPr>
                <w:rFonts w:ascii="宋体" w:hAnsi="宋体"/>
                <w:sz w:val="28"/>
                <w:szCs w:val="28"/>
              </w:rPr>
              <w:t>结算差异分析</w:t>
            </w:r>
          </w:p>
          <w:p>
            <w:pPr>
              <w:ind w:firstLine="480"/>
              <w:rPr>
                <w:rFonts w:ascii="宋体" w:hAnsi="宋体"/>
                <w:sz w:val="28"/>
                <w:szCs w:val="28"/>
              </w:rPr>
            </w:pPr>
            <w:r>
              <w:rPr>
                <w:rFonts w:ascii="宋体" w:hAnsi="宋体"/>
                <w:sz w:val="28"/>
                <w:szCs w:val="28"/>
              </w:rPr>
              <w:t>监控预警</w:t>
            </w:r>
          </w:p>
          <w:p>
            <w:pPr>
              <w:ind w:firstLine="480"/>
              <w:rPr>
                <w:rFonts w:ascii="宋体" w:hAnsi="宋体"/>
                <w:sz w:val="28"/>
                <w:szCs w:val="28"/>
              </w:rPr>
            </w:pPr>
            <w:r>
              <w:rPr>
                <w:rFonts w:ascii="宋体" w:hAnsi="宋体"/>
                <w:sz w:val="28"/>
                <w:szCs w:val="28"/>
              </w:rPr>
              <w:t>服务绩效及分配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817" w:type="dxa"/>
            <w:vMerge w:val="restart"/>
            <w:shd w:val="clear" w:color="auto" w:fill="auto"/>
            <w:vAlign w:val="center"/>
          </w:tcPr>
          <w:p>
            <w:pPr>
              <w:ind w:firstLine="232" w:firstLineChars="83"/>
              <w:rPr>
                <w:rFonts w:ascii="宋体" w:hAnsi="宋体"/>
                <w:sz w:val="28"/>
                <w:szCs w:val="28"/>
              </w:rPr>
            </w:pPr>
            <w:r>
              <w:rPr>
                <w:rFonts w:hint="eastAsia" w:ascii="宋体" w:hAnsi="宋体"/>
                <w:sz w:val="28"/>
                <w:szCs w:val="28"/>
              </w:rPr>
              <w:t>2</w:t>
            </w:r>
          </w:p>
        </w:tc>
        <w:tc>
          <w:tcPr>
            <w:tcW w:w="1641" w:type="dxa"/>
            <w:vMerge w:val="restart"/>
            <w:shd w:val="clear" w:color="auto" w:fill="auto"/>
            <w:vAlign w:val="center"/>
          </w:tcPr>
          <w:p>
            <w:pPr>
              <w:rPr>
                <w:rFonts w:ascii="宋体" w:hAnsi="宋体"/>
                <w:sz w:val="28"/>
                <w:szCs w:val="28"/>
              </w:rPr>
            </w:pPr>
            <w:r>
              <w:rPr>
                <w:rFonts w:hint="eastAsia" w:ascii="宋体" w:hAnsi="宋体"/>
                <w:sz w:val="28"/>
                <w:szCs w:val="28"/>
              </w:rPr>
              <w:t>★差异分析</w:t>
            </w:r>
          </w:p>
        </w:tc>
        <w:tc>
          <w:tcPr>
            <w:tcW w:w="6155" w:type="dxa"/>
            <w:shd w:val="clear" w:color="auto" w:fill="auto"/>
            <w:vAlign w:val="center"/>
          </w:tcPr>
          <w:p>
            <w:pPr>
              <w:ind w:firstLine="480"/>
              <w:rPr>
                <w:rFonts w:ascii="宋体" w:hAnsi="宋体"/>
                <w:sz w:val="28"/>
                <w:szCs w:val="28"/>
              </w:rPr>
            </w:pPr>
            <w:r>
              <w:rPr>
                <w:rFonts w:hint="eastAsia" w:ascii="宋体" w:hAnsi="宋体"/>
                <w:sz w:val="28"/>
                <w:szCs w:val="28"/>
              </w:rPr>
              <w:t>总体汇总分析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7" w:type="dxa"/>
            <w:vMerge w:val="continue"/>
            <w:shd w:val="clear" w:color="auto" w:fill="auto"/>
          </w:tcPr>
          <w:p>
            <w:pPr>
              <w:ind w:firstLine="480"/>
              <w:rPr>
                <w:rFonts w:ascii="宋体" w:hAnsi="宋体"/>
                <w:sz w:val="28"/>
                <w:szCs w:val="28"/>
              </w:rPr>
            </w:pPr>
          </w:p>
        </w:tc>
        <w:tc>
          <w:tcPr>
            <w:tcW w:w="1641" w:type="dxa"/>
            <w:vMerge w:val="continue"/>
            <w:shd w:val="clear" w:color="auto" w:fill="auto"/>
            <w:vAlign w:val="center"/>
          </w:tcPr>
          <w:p>
            <w:pPr>
              <w:ind w:firstLine="480"/>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hint="eastAsia" w:ascii="宋体" w:hAnsi="宋体"/>
                <w:sz w:val="28"/>
                <w:szCs w:val="28"/>
              </w:rPr>
              <w:t>统筹地区分析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7" w:type="dxa"/>
            <w:vMerge w:val="continue"/>
            <w:shd w:val="clear" w:color="auto" w:fill="auto"/>
          </w:tcPr>
          <w:p>
            <w:pPr>
              <w:ind w:firstLine="480"/>
              <w:rPr>
                <w:rFonts w:ascii="宋体" w:hAnsi="宋体"/>
                <w:sz w:val="28"/>
                <w:szCs w:val="28"/>
              </w:rPr>
            </w:pPr>
          </w:p>
        </w:tc>
        <w:tc>
          <w:tcPr>
            <w:tcW w:w="1641" w:type="dxa"/>
            <w:vMerge w:val="continue"/>
            <w:shd w:val="clear" w:color="auto" w:fill="auto"/>
            <w:vAlign w:val="center"/>
          </w:tcPr>
          <w:p>
            <w:pPr>
              <w:ind w:firstLine="480"/>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hint="eastAsia" w:ascii="宋体" w:hAnsi="宋体"/>
                <w:sz w:val="28"/>
                <w:szCs w:val="28"/>
              </w:rPr>
              <w:t>科室数据分析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17" w:type="dxa"/>
            <w:vMerge w:val="continue"/>
            <w:shd w:val="clear" w:color="auto" w:fill="auto"/>
          </w:tcPr>
          <w:p>
            <w:pPr>
              <w:ind w:firstLine="480"/>
              <w:rPr>
                <w:rFonts w:ascii="宋体" w:hAnsi="宋体"/>
                <w:sz w:val="28"/>
                <w:szCs w:val="28"/>
              </w:rPr>
            </w:pPr>
          </w:p>
        </w:tc>
        <w:tc>
          <w:tcPr>
            <w:tcW w:w="1641" w:type="dxa"/>
            <w:vMerge w:val="continue"/>
            <w:shd w:val="clear" w:color="auto" w:fill="auto"/>
            <w:vAlign w:val="center"/>
          </w:tcPr>
          <w:p>
            <w:pPr>
              <w:ind w:firstLine="480"/>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hint="eastAsia" w:ascii="宋体" w:hAnsi="宋体"/>
                <w:sz w:val="28"/>
                <w:szCs w:val="28"/>
              </w:rPr>
              <w:t>主诊组数据</w:t>
            </w:r>
            <w:r>
              <w:rPr>
                <w:rFonts w:ascii="宋体" w:hAnsi="宋体"/>
                <w:sz w:val="28"/>
                <w:szCs w:val="28"/>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817" w:type="dxa"/>
            <w:vMerge w:val="continue"/>
            <w:shd w:val="clear" w:color="auto" w:fill="auto"/>
          </w:tcPr>
          <w:p>
            <w:pPr>
              <w:ind w:firstLine="480"/>
              <w:rPr>
                <w:rFonts w:ascii="宋体" w:hAnsi="宋体"/>
                <w:sz w:val="28"/>
                <w:szCs w:val="28"/>
              </w:rPr>
            </w:pPr>
          </w:p>
        </w:tc>
        <w:tc>
          <w:tcPr>
            <w:tcW w:w="1641" w:type="dxa"/>
            <w:vMerge w:val="continue"/>
            <w:shd w:val="clear" w:color="auto" w:fill="auto"/>
            <w:vAlign w:val="center"/>
          </w:tcPr>
          <w:p>
            <w:pPr>
              <w:ind w:firstLine="480"/>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hint="eastAsia" w:ascii="宋体" w:hAnsi="宋体"/>
                <w:sz w:val="28"/>
                <w:szCs w:val="28"/>
              </w:rPr>
              <w:t>责任医生数据分析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817" w:type="dxa"/>
            <w:vMerge w:val="continue"/>
            <w:shd w:val="clear" w:color="auto" w:fill="auto"/>
          </w:tcPr>
          <w:p>
            <w:pPr>
              <w:ind w:firstLine="480"/>
              <w:rPr>
                <w:rFonts w:ascii="宋体" w:hAnsi="宋体"/>
                <w:sz w:val="28"/>
                <w:szCs w:val="28"/>
              </w:rPr>
            </w:pPr>
          </w:p>
        </w:tc>
        <w:tc>
          <w:tcPr>
            <w:tcW w:w="1641" w:type="dxa"/>
            <w:vMerge w:val="continue"/>
            <w:shd w:val="clear" w:color="auto" w:fill="auto"/>
            <w:vAlign w:val="center"/>
          </w:tcPr>
          <w:p>
            <w:pPr>
              <w:ind w:firstLine="480"/>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ascii="宋体" w:hAnsi="宋体"/>
                <w:sz w:val="28"/>
                <w:szCs w:val="28"/>
              </w:rPr>
              <w:t>病例类型分析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17" w:type="dxa"/>
            <w:vMerge w:val="continue"/>
            <w:shd w:val="clear" w:color="auto" w:fill="auto"/>
          </w:tcPr>
          <w:p>
            <w:pPr>
              <w:ind w:firstLine="480"/>
              <w:rPr>
                <w:rFonts w:ascii="宋体" w:hAnsi="宋体"/>
                <w:sz w:val="28"/>
                <w:szCs w:val="28"/>
              </w:rPr>
            </w:pPr>
          </w:p>
        </w:tc>
        <w:tc>
          <w:tcPr>
            <w:tcW w:w="1641" w:type="dxa"/>
            <w:vMerge w:val="continue"/>
            <w:shd w:val="clear" w:color="auto" w:fill="auto"/>
            <w:vAlign w:val="center"/>
          </w:tcPr>
          <w:p>
            <w:pPr>
              <w:ind w:firstLine="480"/>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ascii="宋体" w:hAnsi="宋体"/>
                <w:sz w:val="28"/>
                <w:szCs w:val="28"/>
              </w:rPr>
              <w:t>病组分析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817" w:type="dxa"/>
            <w:vMerge w:val="continue"/>
            <w:shd w:val="clear" w:color="auto" w:fill="auto"/>
          </w:tcPr>
          <w:p>
            <w:pPr>
              <w:ind w:firstLine="480"/>
              <w:rPr>
                <w:rFonts w:ascii="宋体" w:hAnsi="宋体"/>
                <w:sz w:val="28"/>
                <w:szCs w:val="28"/>
              </w:rPr>
            </w:pPr>
          </w:p>
        </w:tc>
        <w:tc>
          <w:tcPr>
            <w:tcW w:w="1641" w:type="dxa"/>
            <w:vMerge w:val="continue"/>
            <w:shd w:val="clear" w:color="auto" w:fill="auto"/>
            <w:vAlign w:val="center"/>
          </w:tcPr>
          <w:p>
            <w:pPr>
              <w:ind w:firstLine="480"/>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hint="eastAsia" w:ascii="宋体" w:hAnsi="宋体"/>
                <w:sz w:val="28"/>
                <w:szCs w:val="28"/>
              </w:rPr>
              <w:t>M</w:t>
            </w:r>
            <w:r>
              <w:rPr>
                <w:rFonts w:ascii="宋体" w:hAnsi="宋体"/>
                <w:sz w:val="28"/>
                <w:szCs w:val="28"/>
              </w:rPr>
              <w:t>DC挖掘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817" w:type="dxa"/>
            <w:vMerge w:val="continue"/>
            <w:shd w:val="clear" w:color="auto" w:fill="auto"/>
          </w:tcPr>
          <w:p>
            <w:pPr>
              <w:ind w:firstLine="480"/>
              <w:rPr>
                <w:rFonts w:ascii="宋体" w:hAnsi="宋体"/>
                <w:sz w:val="28"/>
                <w:szCs w:val="28"/>
              </w:rPr>
            </w:pPr>
          </w:p>
        </w:tc>
        <w:tc>
          <w:tcPr>
            <w:tcW w:w="1641" w:type="dxa"/>
            <w:vMerge w:val="continue"/>
            <w:shd w:val="clear" w:color="auto" w:fill="auto"/>
            <w:vAlign w:val="center"/>
          </w:tcPr>
          <w:p>
            <w:pPr>
              <w:ind w:firstLine="480"/>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hint="eastAsia" w:ascii="宋体" w:hAnsi="宋体"/>
                <w:sz w:val="28"/>
                <w:szCs w:val="28"/>
              </w:rPr>
              <w:t>A</w:t>
            </w:r>
            <w:r>
              <w:rPr>
                <w:rFonts w:ascii="宋体" w:hAnsi="宋体"/>
                <w:sz w:val="28"/>
                <w:szCs w:val="28"/>
              </w:rPr>
              <w:t>DRG挖掘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817" w:type="dxa"/>
            <w:vMerge w:val="continue"/>
            <w:shd w:val="clear" w:color="auto" w:fill="auto"/>
          </w:tcPr>
          <w:p>
            <w:pPr>
              <w:ind w:firstLine="480"/>
              <w:rPr>
                <w:rFonts w:ascii="宋体" w:hAnsi="宋体"/>
                <w:sz w:val="28"/>
                <w:szCs w:val="28"/>
              </w:rPr>
            </w:pPr>
          </w:p>
        </w:tc>
        <w:tc>
          <w:tcPr>
            <w:tcW w:w="1641" w:type="dxa"/>
            <w:vMerge w:val="continue"/>
            <w:shd w:val="clear" w:color="auto" w:fill="auto"/>
            <w:vAlign w:val="center"/>
          </w:tcPr>
          <w:p>
            <w:pPr>
              <w:ind w:firstLine="480"/>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hint="eastAsia" w:ascii="宋体" w:hAnsi="宋体"/>
                <w:sz w:val="28"/>
                <w:szCs w:val="28"/>
              </w:rPr>
              <w:t>D</w:t>
            </w:r>
            <w:r>
              <w:rPr>
                <w:rFonts w:ascii="宋体" w:hAnsi="宋体"/>
                <w:sz w:val="28"/>
                <w:szCs w:val="28"/>
              </w:rPr>
              <w:t>RG挖掘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17" w:type="dxa"/>
            <w:vMerge w:val="continue"/>
            <w:shd w:val="clear" w:color="auto" w:fill="auto"/>
          </w:tcPr>
          <w:p>
            <w:pPr>
              <w:ind w:firstLine="480"/>
              <w:rPr>
                <w:rFonts w:ascii="宋体" w:hAnsi="宋体"/>
                <w:sz w:val="28"/>
                <w:szCs w:val="28"/>
              </w:rPr>
            </w:pPr>
          </w:p>
        </w:tc>
        <w:tc>
          <w:tcPr>
            <w:tcW w:w="1641" w:type="dxa"/>
            <w:vMerge w:val="continue"/>
            <w:shd w:val="clear" w:color="auto" w:fill="auto"/>
            <w:vAlign w:val="center"/>
          </w:tcPr>
          <w:p>
            <w:pPr>
              <w:ind w:firstLine="480"/>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hint="eastAsia" w:ascii="宋体" w:hAnsi="宋体"/>
                <w:sz w:val="28"/>
                <w:szCs w:val="28"/>
              </w:rPr>
              <w:t>明细挖掘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17" w:type="dxa"/>
            <w:vMerge w:val="restart"/>
            <w:shd w:val="clear" w:color="auto" w:fill="auto"/>
            <w:vAlign w:val="center"/>
          </w:tcPr>
          <w:p>
            <w:pPr>
              <w:jc w:val="center"/>
              <w:rPr>
                <w:rFonts w:ascii="宋体" w:hAnsi="宋体"/>
                <w:sz w:val="28"/>
                <w:szCs w:val="28"/>
              </w:rPr>
            </w:pPr>
            <w:r>
              <w:rPr>
                <w:rFonts w:hint="eastAsia" w:ascii="宋体" w:hAnsi="宋体"/>
                <w:sz w:val="28"/>
                <w:szCs w:val="28"/>
              </w:rPr>
              <w:t>3</w:t>
            </w:r>
          </w:p>
        </w:tc>
        <w:tc>
          <w:tcPr>
            <w:tcW w:w="1641" w:type="dxa"/>
            <w:vMerge w:val="restart"/>
            <w:shd w:val="clear" w:color="auto" w:fill="auto"/>
            <w:vAlign w:val="center"/>
          </w:tcPr>
          <w:p>
            <w:pPr>
              <w:rPr>
                <w:rFonts w:ascii="宋体" w:hAnsi="宋体"/>
                <w:sz w:val="28"/>
                <w:szCs w:val="28"/>
              </w:rPr>
            </w:pPr>
            <w:r>
              <w:rPr>
                <w:rFonts w:hint="eastAsia" w:ascii="宋体" w:hAnsi="宋体"/>
                <w:sz w:val="28"/>
                <w:szCs w:val="28"/>
              </w:rPr>
              <w:t>★</w:t>
            </w:r>
            <w:r>
              <w:rPr>
                <w:rFonts w:ascii="宋体" w:hAnsi="宋体"/>
                <w:sz w:val="28"/>
                <w:szCs w:val="28"/>
              </w:rPr>
              <w:t>监控预警</w:t>
            </w:r>
          </w:p>
        </w:tc>
        <w:tc>
          <w:tcPr>
            <w:tcW w:w="6155" w:type="dxa"/>
            <w:shd w:val="clear" w:color="auto" w:fill="auto"/>
            <w:vAlign w:val="center"/>
          </w:tcPr>
          <w:p>
            <w:pPr>
              <w:ind w:firstLine="480"/>
              <w:rPr>
                <w:rFonts w:ascii="宋体" w:hAnsi="宋体"/>
                <w:sz w:val="28"/>
                <w:szCs w:val="28"/>
              </w:rPr>
            </w:pPr>
            <w:r>
              <w:rPr>
                <w:rFonts w:ascii="宋体" w:hAnsi="宋体"/>
                <w:sz w:val="28"/>
                <w:szCs w:val="28"/>
              </w:rPr>
              <w:t>DRG综合比例风控预警模型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17" w:type="dxa"/>
            <w:vMerge w:val="continue"/>
            <w:shd w:val="clear" w:color="auto" w:fill="auto"/>
            <w:vAlign w:val="center"/>
          </w:tcPr>
          <w:p>
            <w:pPr>
              <w:ind w:firstLine="480"/>
              <w:jc w:val="center"/>
              <w:rPr>
                <w:rFonts w:ascii="宋体" w:hAnsi="宋体"/>
                <w:sz w:val="28"/>
                <w:szCs w:val="28"/>
              </w:rPr>
            </w:pPr>
          </w:p>
        </w:tc>
        <w:tc>
          <w:tcPr>
            <w:tcW w:w="1641" w:type="dxa"/>
            <w:vMerge w:val="continue"/>
            <w:shd w:val="clear" w:color="auto" w:fill="auto"/>
            <w:vAlign w:val="center"/>
          </w:tcPr>
          <w:p>
            <w:pPr>
              <w:ind w:firstLine="480"/>
              <w:jc w:val="center"/>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ascii="宋体" w:hAnsi="宋体"/>
                <w:sz w:val="28"/>
                <w:szCs w:val="28"/>
              </w:rPr>
              <w:t>病案填报预警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17" w:type="dxa"/>
            <w:vMerge w:val="continue"/>
            <w:shd w:val="clear" w:color="auto" w:fill="auto"/>
            <w:vAlign w:val="center"/>
          </w:tcPr>
          <w:p>
            <w:pPr>
              <w:ind w:firstLine="480"/>
              <w:jc w:val="center"/>
              <w:rPr>
                <w:rFonts w:ascii="宋体" w:hAnsi="宋体"/>
                <w:sz w:val="28"/>
                <w:szCs w:val="28"/>
              </w:rPr>
            </w:pPr>
          </w:p>
        </w:tc>
        <w:tc>
          <w:tcPr>
            <w:tcW w:w="1641" w:type="dxa"/>
            <w:vMerge w:val="continue"/>
            <w:shd w:val="clear" w:color="auto" w:fill="auto"/>
            <w:vAlign w:val="center"/>
          </w:tcPr>
          <w:p>
            <w:pPr>
              <w:ind w:firstLine="480"/>
              <w:jc w:val="center"/>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ascii="宋体" w:hAnsi="宋体"/>
                <w:sz w:val="28"/>
                <w:szCs w:val="28"/>
              </w:rPr>
              <w:t>推诿重症预警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17" w:type="dxa"/>
            <w:vMerge w:val="continue"/>
            <w:shd w:val="clear" w:color="auto" w:fill="auto"/>
            <w:vAlign w:val="center"/>
          </w:tcPr>
          <w:p>
            <w:pPr>
              <w:ind w:firstLine="480"/>
              <w:jc w:val="center"/>
              <w:rPr>
                <w:rFonts w:ascii="宋体" w:hAnsi="宋体"/>
                <w:sz w:val="28"/>
                <w:szCs w:val="28"/>
              </w:rPr>
            </w:pPr>
          </w:p>
        </w:tc>
        <w:tc>
          <w:tcPr>
            <w:tcW w:w="1641" w:type="dxa"/>
            <w:vMerge w:val="continue"/>
            <w:shd w:val="clear" w:color="auto" w:fill="auto"/>
            <w:vAlign w:val="center"/>
          </w:tcPr>
          <w:p>
            <w:pPr>
              <w:ind w:firstLine="480"/>
              <w:jc w:val="center"/>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ascii="宋体" w:hAnsi="宋体"/>
                <w:sz w:val="28"/>
                <w:szCs w:val="28"/>
              </w:rPr>
              <w:t>拆单控费预警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817" w:type="dxa"/>
            <w:vMerge w:val="continue"/>
            <w:shd w:val="clear" w:color="auto" w:fill="auto"/>
            <w:vAlign w:val="center"/>
          </w:tcPr>
          <w:p>
            <w:pPr>
              <w:ind w:firstLine="480"/>
              <w:jc w:val="center"/>
              <w:rPr>
                <w:rFonts w:ascii="宋体" w:hAnsi="宋体"/>
                <w:sz w:val="28"/>
                <w:szCs w:val="28"/>
              </w:rPr>
            </w:pPr>
          </w:p>
        </w:tc>
        <w:tc>
          <w:tcPr>
            <w:tcW w:w="1641" w:type="dxa"/>
            <w:vMerge w:val="continue"/>
            <w:shd w:val="clear" w:color="auto" w:fill="auto"/>
            <w:vAlign w:val="center"/>
          </w:tcPr>
          <w:p>
            <w:pPr>
              <w:ind w:firstLine="480"/>
              <w:jc w:val="center"/>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ascii="宋体" w:hAnsi="宋体"/>
                <w:sz w:val="28"/>
                <w:szCs w:val="28"/>
              </w:rPr>
              <w:t>患者负担监控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17" w:type="dxa"/>
            <w:vMerge w:val="continue"/>
            <w:shd w:val="clear" w:color="auto" w:fill="auto"/>
            <w:vAlign w:val="center"/>
          </w:tcPr>
          <w:p>
            <w:pPr>
              <w:ind w:firstLine="480"/>
              <w:jc w:val="center"/>
              <w:rPr>
                <w:rFonts w:ascii="宋体" w:hAnsi="宋体"/>
                <w:sz w:val="28"/>
                <w:szCs w:val="28"/>
              </w:rPr>
            </w:pPr>
          </w:p>
        </w:tc>
        <w:tc>
          <w:tcPr>
            <w:tcW w:w="1641" w:type="dxa"/>
            <w:vMerge w:val="continue"/>
            <w:shd w:val="clear" w:color="auto" w:fill="auto"/>
            <w:vAlign w:val="center"/>
          </w:tcPr>
          <w:p>
            <w:pPr>
              <w:ind w:firstLine="480"/>
              <w:jc w:val="center"/>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ascii="宋体" w:hAnsi="宋体"/>
                <w:sz w:val="28"/>
                <w:szCs w:val="28"/>
              </w:rPr>
              <w:t>费用结构监控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ind w:firstLine="480"/>
              <w:jc w:val="center"/>
              <w:rPr>
                <w:rFonts w:ascii="宋体" w:hAnsi="宋体"/>
                <w:sz w:val="28"/>
                <w:szCs w:val="28"/>
              </w:rPr>
            </w:pPr>
          </w:p>
        </w:tc>
        <w:tc>
          <w:tcPr>
            <w:tcW w:w="1641" w:type="dxa"/>
            <w:vMerge w:val="continue"/>
            <w:shd w:val="clear" w:color="auto" w:fill="auto"/>
            <w:vAlign w:val="center"/>
          </w:tcPr>
          <w:p>
            <w:pPr>
              <w:ind w:firstLine="480"/>
              <w:jc w:val="center"/>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ascii="宋体" w:hAnsi="宋体"/>
                <w:sz w:val="28"/>
                <w:szCs w:val="28"/>
              </w:rPr>
              <w:t>智能提醒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jc w:val="center"/>
              <w:rPr>
                <w:rFonts w:ascii="宋体" w:hAnsi="宋体"/>
                <w:sz w:val="28"/>
                <w:szCs w:val="28"/>
              </w:rPr>
            </w:pPr>
            <w:r>
              <w:rPr>
                <w:rFonts w:hint="eastAsia" w:ascii="宋体" w:hAnsi="宋体"/>
                <w:sz w:val="28"/>
                <w:szCs w:val="28"/>
              </w:rPr>
              <w:t>4</w:t>
            </w:r>
          </w:p>
        </w:tc>
        <w:tc>
          <w:tcPr>
            <w:tcW w:w="1641" w:type="dxa"/>
            <w:vMerge w:val="restart"/>
            <w:shd w:val="clear" w:color="auto" w:fill="auto"/>
            <w:vAlign w:val="center"/>
          </w:tcPr>
          <w:p>
            <w:pPr>
              <w:rPr>
                <w:rFonts w:ascii="宋体" w:hAnsi="宋体"/>
                <w:sz w:val="28"/>
                <w:szCs w:val="28"/>
              </w:rPr>
            </w:pPr>
            <w:r>
              <w:rPr>
                <w:rFonts w:hint="eastAsia" w:ascii="宋体" w:hAnsi="宋体"/>
                <w:sz w:val="28"/>
                <w:szCs w:val="28"/>
              </w:rPr>
              <w:t>▲</w:t>
            </w:r>
            <w:r>
              <w:rPr>
                <w:rFonts w:ascii="宋体" w:hAnsi="宋体"/>
                <w:sz w:val="28"/>
                <w:szCs w:val="28"/>
              </w:rPr>
              <w:t>分组效能</w:t>
            </w:r>
          </w:p>
        </w:tc>
        <w:tc>
          <w:tcPr>
            <w:tcW w:w="6155" w:type="dxa"/>
            <w:shd w:val="clear" w:color="auto" w:fill="auto"/>
            <w:vAlign w:val="center"/>
          </w:tcPr>
          <w:p>
            <w:pPr>
              <w:ind w:firstLine="480"/>
              <w:rPr>
                <w:rFonts w:ascii="宋体" w:hAnsi="宋体"/>
                <w:sz w:val="28"/>
                <w:szCs w:val="28"/>
              </w:rPr>
            </w:pPr>
            <w:r>
              <w:rPr>
                <w:rFonts w:ascii="宋体" w:hAnsi="宋体"/>
                <w:sz w:val="28"/>
                <w:szCs w:val="28"/>
              </w:rPr>
              <w:t>分组结果汇总分析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ind w:firstLine="480"/>
              <w:jc w:val="center"/>
              <w:rPr>
                <w:rFonts w:ascii="宋体" w:hAnsi="宋体"/>
                <w:sz w:val="28"/>
                <w:szCs w:val="28"/>
              </w:rPr>
            </w:pPr>
          </w:p>
        </w:tc>
        <w:tc>
          <w:tcPr>
            <w:tcW w:w="1641" w:type="dxa"/>
            <w:vMerge w:val="continue"/>
            <w:shd w:val="clear" w:color="auto" w:fill="auto"/>
            <w:vAlign w:val="center"/>
          </w:tcPr>
          <w:p>
            <w:pPr>
              <w:ind w:firstLine="480"/>
              <w:jc w:val="center"/>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ascii="宋体" w:hAnsi="宋体"/>
                <w:sz w:val="28"/>
                <w:szCs w:val="28"/>
              </w:rPr>
              <w:t>分组效能评估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17" w:type="dxa"/>
            <w:vMerge w:val="restart"/>
            <w:shd w:val="clear" w:color="auto" w:fill="auto"/>
            <w:vAlign w:val="center"/>
          </w:tcPr>
          <w:p>
            <w:pPr>
              <w:jc w:val="center"/>
              <w:rPr>
                <w:rFonts w:ascii="宋体" w:hAnsi="宋体"/>
                <w:sz w:val="28"/>
                <w:szCs w:val="28"/>
              </w:rPr>
            </w:pPr>
            <w:r>
              <w:rPr>
                <w:rFonts w:hint="eastAsia" w:ascii="宋体" w:hAnsi="宋体"/>
                <w:sz w:val="28"/>
                <w:szCs w:val="28"/>
              </w:rPr>
              <w:t>5</w:t>
            </w:r>
          </w:p>
        </w:tc>
        <w:tc>
          <w:tcPr>
            <w:tcW w:w="1641" w:type="dxa"/>
            <w:vMerge w:val="restart"/>
            <w:shd w:val="clear" w:color="auto" w:fill="auto"/>
            <w:vAlign w:val="center"/>
          </w:tcPr>
          <w:p>
            <w:pPr>
              <w:rPr>
                <w:rFonts w:ascii="宋体" w:hAnsi="宋体"/>
                <w:sz w:val="28"/>
                <w:szCs w:val="28"/>
              </w:rPr>
            </w:pPr>
            <w:r>
              <w:rPr>
                <w:rFonts w:hint="eastAsia" w:ascii="宋体" w:hAnsi="宋体"/>
                <w:sz w:val="28"/>
                <w:szCs w:val="28"/>
              </w:rPr>
              <w:t>★</w:t>
            </w:r>
            <w:r>
              <w:rPr>
                <w:rFonts w:ascii="宋体" w:hAnsi="宋体"/>
                <w:sz w:val="28"/>
                <w:szCs w:val="28"/>
              </w:rPr>
              <w:t>服务绩效</w:t>
            </w:r>
          </w:p>
        </w:tc>
        <w:tc>
          <w:tcPr>
            <w:tcW w:w="6155" w:type="dxa"/>
            <w:shd w:val="clear" w:color="auto" w:fill="auto"/>
            <w:vAlign w:val="center"/>
          </w:tcPr>
          <w:p>
            <w:pPr>
              <w:ind w:firstLine="480"/>
              <w:rPr>
                <w:rFonts w:ascii="宋体" w:hAnsi="宋体"/>
                <w:sz w:val="28"/>
                <w:szCs w:val="28"/>
              </w:rPr>
            </w:pPr>
            <w:r>
              <w:rPr>
                <w:rFonts w:ascii="宋体" w:hAnsi="宋体"/>
                <w:sz w:val="28"/>
                <w:szCs w:val="28"/>
              </w:rPr>
              <w:t>医院绩效评价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7" w:type="dxa"/>
            <w:vMerge w:val="continue"/>
            <w:shd w:val="clear" w:color="auto" w:fill="auto"/>
            <w:vAlign w:val="center"/>
          </w:tcPr>
          <w:p>
            <w:pPr>
              <w:ind w:firstLine="480"/>
              <w:jc w:val="center"/>
              <w:rPr>
                <w:rFonts w:ascii="宋体" w:hAnsi="宋体"/>
                <w:sz w:val="28"/>
                <w:szCs w:val="28"/>
              </w:rPr>
            </w:pPr>
          </w:p>
        </w:tc>
        <w:tc>
          <w:tcPr>
            <w:tcW w:w="1641" w:type="dxa"/>
            <w:vMerge w:val="continue"/>
            <w:shd w:val="clear" w:color="auto" w:fill="auto"/>
            <w:vAlign w:val="center"/>
          </w:tcPr>
          <w:p>
            <w:pPr>
              <w:ind w:firstLine="480"/>
              <w:jc w:val="center"/>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ascii="宋体" w:hAnsi="宋体"/>
                <w:sz w:val="28"/>
                <w:szCs w:val="28"/>
              </w:rPr>
              <w:t>科室绩效评价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817" w:type="dxa"/>
            <w:vMerge w:val="continue"/>
            <w:shd w:val="clear" w:color="auto" w:fill="auto"/>
            <w:vAlign w:val="center"/>
          </w:tcPr>
          <w:p>
            <w:pPr>
              <w:ind w:firstLine="480"/>
              <w:jc w:val="center"/>
              <w:rPr>
                <w:rFonts w:ascii="宋体" w:hAnsi="宋体"/>
                <w:sz w:val="28"/>
                <w:szCs w:val="28"/>
              </w:rPr>
            </w:pPr>
          </w:p>
        </w:tc>
        <w:tc>
          <w:tcPr>
            <w:tcW w:w="1641" w:type="dxa"/>
            <w:vMerge w:val="continue"/>
            <w:shd w:val="clear" w:color="auto" w:fill="auto"/>
            <w:vAlign w:val="center"/>
          </w:tcPr>
          <w:p>
            <w:pPr>
              <w:ind w:firstLine="480"/>
              <w:jc w:val="center"/>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ascii="宋体" w:hAnsi="宋体"/>
                <w:sz w:val="28"/>
                <w:szCs w:val="28"/>
              </w:rPr>
              <w:t>科室绩效分配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17" w:type="dxa"/>
            <w:vMerge w:val="restart"/>
            <w:shd w:val="clear" w:color="auto" w:fill="auto"/>
            <w:vAlign w:val="center"/>
          </w:tcPr>
          <w:p>
            <w:pPr>
              <w:jc w:val="center"/>
              <w:rPr>
                <w:rFonts w:ascii="宋体" w:hAnsi="宋体"/>
                <w:sz w:val="28"/>
                <w:szCs w:val="28"/>
              </w:rPr>
            </w:pPr>
            <w:r>
              <w:rPr>
                <w:rFonts w:hint="eastAsia" w:ascii="宋体" w:hAnsi="宋体"/>
                <w:sz w:val="28"/>
                <w:szCs w:val="28"/>
              </w:rPr>
              <w:t>6</w:t>
            </w:r>
          </w:p>
        </w:tc>
        <w:tc>
          <w:tcPr>
            <w:tcW w:w="1641" w:type="dxa"/>
            <w:vMerge w:val="restart"/>
            <w:shd w:val="clear" w:color="auto" w:fill="auto"/>
            <w:vAlign w:val="center"/>
          </w:tcPr>
          <w:p>
            <w:pPr>
              <w:rPr>
                <w:rFonts w:ascii="宋体" w:hAnsi="宋体"/>
                <w:sz w:val="28"/>
                <w:szCs w:val="28"/>
              </w:rPr>
            </w:pPr>
            <w:r>
              <w:rPr>
                <w:rFonts w:hint="eastAsia" w:ascii="宋体" w:hAnsi="宋体"/>
                <w:sz w:val="28"/>
                <w:szCs w:val="28"/>
              </w:rPr>
              <w:t>系统查询</w:t>
            </w:r>
          </w:p>
        </w:tc>
        <w:tc>
          <w:tcPr>
            <w:tcW w:w="6155" w:type="dxa"/>
            <w:shd w:val="clear" w:color="auto" w:fill="auto"/>
            <w:vAlign w:val="center"/>
          </w:tcPr>
          <w:p>
            <w:pPr>
              <w:ind w:firstLine="480"/>
              <w:rPr>
                <w:rFonts w:ascii="宋体" w:hAnsi="宋体"/>
                <w:sz w:val="28"/>
                <w:szCs w:val="28"/>
              </w:rPr>
            </w:pPr>
            <w:r>
              <w:rPr>
                <w:rFonts w:hint="eastAsia" w:ascii="宋体" w:hAnsi="宋体"/>
                <w:sz w:val="28"/>
                <w:szCs w:val="28"/>
              </w:rPr>
              <w:t>▲病组查询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817" w:type="dxa"/>
            <w:vMerge w:val="continue"/>
            <w:shd w:val="clear" w:color="auto" w:fill="auto"/>
          </w:tcPr>
          <w:p>
            <w:pPr>
              <w:ind w:firstLine="480"/>
              <w:rPr>
                <w:rFonts w:ascii="宋体" w:hAnsi="宋体"/>
                <w:sz w:val="28"/>
                <w:szCs w:val="28"/>
              </w:rPr>
            </w:pPr>
          </w:p>
        </w:tc>
        <w:tc>
          <w:tcPr>
            <w:tcW w:w="1641" w:type="dxa"/>
            <w:vMerge w:val="continue"/>
            <w:shd w:val="clear" w:color="auto" w:fill="auto"/>
          </w:tcPr>
          <w:p>
            <w:pPr>
              <w:ind w:firstLine="480"/>
              <w:rPr>
                <w:rFonts w:ascii="宋体" w:hAnsi="宋体"/>
                <w:sz w:val="28"/>
                <w:szCs w:val="28"/>
              </w:rPr>
            </w:pPr>
          </w:p>
        </w:tc>
        <w:tc>
          <w:tcPr>
            <w:tcW w:w="6155" w:type="dxa"/>
            <w:shd w:val="clear" w:color="auto" w:fill="auto"/>
            <w:vAlign w:val="center"/>
          </w:tcPr>
          <w:p>
            <w:pPr>
              <w:ind w:firstLine="480"/>
              <w:rPr>
                <w:rFonts w:ascii="宋体" w:hAnsi="宋体"/>
                <w:sz w:val="28"/>
                <w:szCs w:val="28"/>
              </w:rPr>
            </w:pPr>
            <w:r>
              <w:rPr>
                <w:rFonts w:hint="eastAsia" w:ascii="宋体" w:hAnsi="宋体"/>
                <w:sz w:val="28"/>
                <w:szCs w:val="28"/>
              </w:rPr>
              <w:t>★病例查询</w:t>
            </w:r>
          </w:p>
        </w:tc>
      </w:tr>
    </w:tbl>
    <w:p>
      <w:pPr>
        <w:pStyle w:val="6"/>
        <w:rPr>
          <w:rFonts w:ascii="宋体" w:hAnsi="宋体" w:eastAsia="宋体"/>
          <w:sz w:val="28"/>
        </w:rPr>
      </w:pPr>
      <w:r>
        <w:rPr>
          <w:rFonts w:hint="eastAsia" w:ascii="宋体" w:hAnsi="宋体" w:eastAsia="宋体"/>
          <w:sz w:val="28"/>
        </w:rPr>
        <w:t>▲全局监控</w:t>
      </w:r>
    </w:p>
    <w:p>
      <w:pPr>
        <w:rPr>
          <w:rFonts w:ascii="宋体" w:hAnsi="宋体"/>
          <w:b/>
          <w:bCs/>
          <w:sz w:val="28"/>
          <w:szCs w:val="28"/>
        </w:rPr>
      </w:pPr>
      <w:r>
        <w:rPr>
          <w:rFonts w:ascii="宋体" w:hAnsi="宋体"/>
          <w:b/>
          <w:bCs/>
          <w:sz w:val="28"/>
          <w:szCs w:val="28"/>
        </w:rPr>
        <w:t>分组效能分析</w:t>
      </w:r>
      <w:r>
        <w:rPr>
          <w:rFonts w:hint="eastAsia" w:ascii="宋体" w:hAnsi="宋体"/>
          <w:b/>
          <w:bCs/>
          <w:sz w:val="28"/>
          <w:szCs w:val="28"/>
        </w:rPr>
        <w:t>、</w:t>
      </w:r>
      <w:r>
        <w:rPr>
          <w:rFonts w:ascii="宋体" w:hAnsi="宋体"/>
          <w:b/>
          <w:bCs/>
          <w:sz w:val="28"/>
          <w:szCs w:val="28"/>
        </w:rPr>
        <w:t>结算差异分析</w:t>
      </w:r>
      <w:r>
        <w:rPr>
          <w:rFonts w:hint="eastAsia" w:ascii="宋体" w:hAnsi="宋体"/>
          <w:b/>
          <w:bCs/>
          <w:sz w:val="28"/>
          <w:szCs w:val="28"/>
        </w:rPr>
        <w:t>、</w:t>
      </w:r>
      <w:r>
        <w:rPr>
          <w:rFonts w:ascii="宋体" w:hAnsi="宋体"/>
          <w:b/>
          <w:bCs/>
          <w:sz w:val="28"/>
          <w:szCs w:val="28"/>
        </w:rPr>
        <w:t>监控预警</w:t>
      </w:r>
      <w:r>
        <w:rPr>
          <w:rFonts w:hint="eastAsia" w:ascii="宋体" w:hAnsi="宋体"/>
          <w:b/>
          <w:bCs/>
          <w:sz w:val="28"/>
          <w:szCs w:val="28"/>
        </w:rPr>
        <w:t>、</w:t>
      </w:r>
      <w:r>
        <w:rPr>
          <w:rFonts w:ascii="宋体" w:hAnsi="宋体"/>
          <w:b/>
          <w:bCs/>
          <w:sz w:val="28"/>
          <w:szCs w:val="28"/>
        </w:rPr>
        <w:t>服务绩效及分配</w:t>
      </w:r>
      <w:r>
        <w:rPr>
          <w:rFonts w:hint="eastAsia" w:ascii="宋体" w:hAnsi="宋体"/>
          <w:b/>
          <w:bCs/>
          <w:sz w:val="28"/>
          <w:szCs w:val="28"/>
        </w:rPr>
        <w:t>：</w:t>
      </w:r>
    </w:p>
    <w:p>
      <w:pPr>
        <w:ind w:firstLine="560" w:firstLineChars="200"/>
        <w:rPr>
          <w:rFonts w:ascii="宋体" w:hAnsi="宋体"/>
          <w:sz w:val="28"/>
          <w:szCs w:val="28"/>
        </w:rPr>
      </w:pPr>
      <w:r>
        <w:rPr>
          <w:rFonts w:hint="eastAsia" w:ascii="宋体" w:hAnsi="宋体"/>
          <w:sz w:val="28"/>
          <w:szCs w:val="28"/>
        </w:rPr>
        <w:t>对系统各个子系统重点指标及维度进行综合展示，快速定位分组效能、结算差异、费用差异结构主因、监控预警、绩效评价及分配等关键。综合性多规则判定，智能提醒；重点问题实时追踪，交互操作。</w:t>
      </w:r>
    </w:p>
    <w:p>
      <w:pPr>
        <w:pStyle w:val="6"/>
        <w:rPr>
          <w:rFonts w:ascii="宋体" w:hAnsi="宋体" w:eastAsia="宋体"/>
          <w:sz w:val="28"/>
        </w:rPr>
      </w:pPr>
      <w:r>
        <w:rPr>
          <w:rFonts w:hint="eastAsia" w:ascii="宋体" w:hAnsi="宋体" w:eastAsia="宋体"/>
          <w:sz w:val="28"/>
        </w:rPr>
        <w:t>★差异分析</w:t>
      </w:r>
    </w:p>
    <w:p>
      <w:pPr>
        <w:pStyle w:val="6"/>
        <w:rPr>
          <w:rFonts w:ascii="宋体" w:hAnsi="宋体" w:eastAsia="宋体"/>
          <w:sz w:val="28"/>
        </w:rPr>
      </w:pPr>
      <w:r>
        <w:rPr>
          <w:rFonts w:hint="eastAsia" w:ascii="宋体" w:hAnsi="宋体" w:eastAsia="宋体"/>
          <w:sz w:val="28"/>
        </w:rPr>
        <w:t>总体汇总分析</w:t>
      </w:r>
    </w:p>
    <w:p>
      <w:pPr>
        <w:ind w:firstLine="560" w:firstLineChars="200"/>
        <w:rPr>
          <w:rFonts w:ascii="宋体" w:hAnsi="宋体"/>
          <w:sz w:val="28"/>
          <w:szCs w:val="28"/>
        </w:rPr>
      </w:pPr>
      <w:r>
        <w:rPr>
          <w:rFonts w:hint="eastAsia" w:ascii="宋体" w:hAnsi="宋体"/>
          <w:sz w:val="28"/>
          <w:szCs w:val="28"/>
        </w:rPr>
        <w:t>整体超支结余走势分析、基金类型超支结余走势分析、差异分类、差异主因分析、差异贡献率分析。</w:t>
      </w:r>
    </w:p>
    <w:p>
      <w:pPr>
        <w:pStyle w:val="7"/>
        <w:rPr>
          <w:rFonts w:ascii="宋体" w:hAnsi="宋体" w:eastAsia="宋体"/>
        </w:rPr>
      </w:pPr>
      <w:r>
        <w:rPr>
          <w:rFonts w:hint="eastAsia" w:ascii="宋体" w:hAnsi="宋体" w:eastAsia="宋体"/>
        </w:rPr>
        <w:t>统筹地区分析</w:t>
      </w:r>
    </w:p>
    <w:p>
      <w:pPr>
        <w:ind w:firstLine="560" w:firstLineChars="200"/>
        <w:rPr>
          <w:rFonts w:ascii="宋体" w:hAnsi="宋体"/>
          <w:sz w:val="28"/>
          <w:szCs w:val="28"/>
        </w:rPr>
      </w:pPr>
      <w:r>
        <w:rPr>
          <w:rFonts w:hint="eastAsia" w:ascii="宋体" w:hAnsi="宋体"/>
          <w:sz w:val="28"/>
          <w:szCs w:val="28"/>
        </w:rPr>
        <w:t>统筹地区差异分类、差异主因分析、差异贡献率分析、时间序列趋势分析。</w:t>
      </w:r>
    </w:p>
    <w:p>
      <w:pPr>
        <w:pStyle w:val="7"/>
        <w:rPr>
          <w:rFonts w:ascii="宋体" w:hAnsi="宋体" w:eastAsia="宋体"/>
        </w:rPr>
      </w:pPr>
      <w:r>
        <w:rPr>
          <w:rFonts w:hint="eastAsia" w:ascii="宋体" w:hAnsi="宋体" w:eastAsia="宋体"/>
        </w:rPr>
        <w:t>科室数据分析</w:t>
      </w:r>
    </w:p>
    <w:p>
      <w:pPr>
        <w:ind w:firstLine="560" w:firstLineChars="200"/>
        <w:rPr>
          <w:rFonts w:ascii="宋体" w:hAnsi="宋体"/>
          <w:sz w:val="28"/>
          <w:szCs w:val="28"/>
        </w:rPr>
      </w:pPr>
      <w:r>
        <w:rPr>
          <w:rFonts w:hint="eastAsia" w:ascii="宋体" w:hAnsi="宋体"/>
          <w:sz w:val="28"/>
          <w:szCs w:val="28"/>
        </w:rPr>
        <w:t>科室差异贡献率分析、科室结余超支、科室差异主因分析、时间序列趋势分析。</w:t>
      </w:r>
    </w:p>
    <w:p>
      <w:pPr>
        <w:pStyle w:val="7"/>
        <w:rPr>
          <w:rFonts w:ascii="宋体" w:hAnsi="宋体" w:eastAsia="宋体"/>
        </w:rPr>
      </w:pPr>
      <w:r>
        <w:rPr>
          <w:rFonts w:hint="eastAsia" w:ascii="宋体" w:hAnsi="宋体" w:eastAsia="宋体"/>
        </w:rPr>
        <w:t>主诊组数据分析</w:t>
      </w:r>
    </w:p>
    <w:p>
      <w:pPr>
        <w:ind w:firstLine="560" w:firstLineChars="200"/>
        <w:rPr>
          <w:rFonts w:ascii="宋体" w:hAnsi="宋体"/>
          <w:sz w:val="28"/>
          <w:szCs w:val="28"/>
        </w:rPr>
      </w:pPr>
      <w:r>
        <w:rPr>
          <w:rFonts w:hint="eastAsia" w:ascii="宋体" w:hAnsi="宋体"/>
          <w:sz w:val="28"/>
          <w:szCs w:val="28"/>
        </w:rPr>
        <w:t>展示主诊组的结余超支占比、各主诊组下的时间序列结算差异及比例，超支结余主因追踪挖掘。</w:t>
      </w:r>
    </w:p>
    <w:p>
      <w:pPr>
        <w:pStyle w:val="7"/>
        <w:rPr>
          <w:rFonts w:ascii="宋体" w:hAnsi="宋体" w:eastAsia="宋体"/>
        </w:rPr>
      </w:pPr>
      <w:r>
        <w:rPr>
          <w:rFonts w:hint="eastAsia" w:ascii="宋体" w:hAnsi="宋体" w:eastAsia="宋体"/>
        </w:rPr>
        <w:t>责任医生数据分析</w:t>
      </w:r>
    </w:p>
    <w:p>
      <w:pPr>
        <w:ind w:firstLine="560" w:firstLineChars="200"/>
        <w:rPr>
          <w:rFonts w:ascii="宋体" w:hAnsi="宋体"/>
          <w:sz w:val="28"/>
          <w:szCs w:val="28"/>
        </w:rPr>
      </w:pPr>
      <w:r>
        <w:rPr>
          <w:rFonts w:hint="eastAsia" w:ascii="宋体" w:hAnsi="宋体"/>
          <w:sz w:val="28"/>
          <w:szCs w:val="28"/>
        </w:rPr>
        <w:t>展示责任医生结余超支占比、各责任医生的超支结余情况、差异主因汇总</w:t>
      </w:r>
      <w:r>
        <w:rPr>
          <w:rFonts w:ascii="宋体" w:hAnsi="宋体"/>
          <w:sz w:val="28"/>
          <w:szCs w:val="28"/>
        </w:rPr>
        <w:t>以及时间序列结算差异及比例</w:t>
      </w:r>
      <w:r>
        <w:rPr>
          <w:rFonts w:hint="eastAsia" w:ascii="宋体" w:hAnsi="宋体"/>
          <w:sz w:val="28"/>
          <w:szCs w:val="28"/>
        </w:rPr>
        <w:t>。</w:t>
      </w:r>
    </w:p>
    <w:p>
      <w:pPr>
        <w:pStyle w:val="7"/>
        <w:rPr>
          <w:rFonts w:ascii="宋体" w:hAnsi="宋体" w:eastAsia="宋体"/>
        </w:rPr>
      </w:pPr>
      <w:r>
        <w:rPr>
          <w:rFonts w:hint="eastAsia" w:ascii="宋体" w:hAnsi="宋体" w:eastAsia="宋体"/>
        </w:rPr>
        <w:t>病例类型分析</w:t>
      </w:r>
    </w:p>
    <w:p>
      <w:pPr>
        <w:ind w:firstLine="560" w:firstLineChars="200"/>
        <w:rPr>
          <w:rFonts w:ascii="宋体" w:hAnsi="宋体"/>
          <w:sz w:val="28"/>
          <w:szCs w:val="28"/>
        </w:rPr>
      </w:pPr>
      <w:r>
        <w:rPr>
          <w:rFonts w:ascii="宋体" w:hAnsi="宋体"/>
          <w:sz w:val="28"/>
          <w:szCs w:val="28"/>
        </w:rPr>
        <w:t>高低倍率的病例数和占比的趋势</w:t>
      </w:r>
      <w:r>
        <w:rPr>
          <w:rFonts w:hint="eastAsia" w:ascii="宋体" w:hAnsi="宋体"/>
          <w:sz w:val="28"/>
          <w:szCs w:val="28"/>
        </w:rPr>
        <w:t>、</w:t>
      </w:r>
      <w:r>
        <w:rPr>
          <w:rFonts w:ascii="宋体" w:hAnsi="宋体"/>
          <w:sz w:val="28"/>
          <w:szCs w:val="28"/>
        </w:rPr>
        <w:t>各类病例的差异贡献度分析</w:t>
      </w:r>
      <w:r>
        <w:rPr>
          <w:rFonts w:hint="eastAsia" w:ascii="宋体" w:hAnsi="宋体"/>
          <w:sz w:val="28"/>
          <w:szCs w:val="28"/>
        </w:rPr>
        <w:t>、</w:t>
      </w:r>
      <w:r>
        <w:rPr>
          <w:rFonts w:ascii="宋体" w:hAnsi="宋体"/>
          <w:sz w:val="28"/>
          <w:szCs w:val="28"/>
        </w:rPr>
        <w:t>不同倍率区间的病例数占比发展情况</w:t>
      </w:r>
      <w:r>
        <w:rPr>
          <w:rFonts w:hint="eastAsia" w:ascii="宋体" w:hAnsi="宋体"/>
          <w:sz w:val="28"/>
          <w:szCs w:val="28"/>
        </w:rPr>
        <w:t>。</w:t>
      </w:r>
    </w:p>
    <w:p>
      <w:pPr>
        <w:pStyle w:val="7"/>
        <w:rPr>
          <w:rFonts w:ascii="宋体" w:hAnsi="宋体" w:eastAsia="宋体"/>
        </w:rPr>
      </w:pPr>
      <w:r>
        <w:rPr>
          <w:rFonts w:hint="eastAsia" w:ascii="宋体" w:hAnsi="宋体" w:eastAsia="宋体"/>
        </w:rPr>
        <w:t>病组分析</w:t>
      </w:r>
    </w:p>
    <w:p>
      <w:pPr>
        <w:ind w:firstLine="560" w:firstLineChars="200"/>
        <w:rPr>
          <w:rFonts w:ascii="宋体" w:hAnsi="宋体"/>
          <w:sz w:val="28"/>
          <w:szCs w:val="28"/>
        </w:rPr>
      </w:pPr>
      <w:r>
        <w:rPr>
          <w:rFonts w:ascii="宋体" w:hAnsi="宋体"/>
          <w:sz w:val="28"/>
          <w:szCs w:val="28"/>
        </w:rPr>
        <w:t>不同层级下的结余超支情况、各病组的的结余超支主因、统筹地区</w:t>
      </w:r>
      <w:r>
        <w:rPr>
          <w:rFonts w:hint="eastAsia" w:ascii="宋体" w:hAnsi="宋体"/>
          <w:sz w:val="28"/>
          <w:szCs w:val="28"/>
        </w:rPr>
        <w:t>、</w:t>
      </w:r>
      <w:r>
        <w:rPr>
          <w:rFonts w:ascii="宋体" w:hAnsi="宋体"/>
          <w:sz w:val="28"/>
          <w:szCs w:val="28"/>
        </w:rPr>
        <w:t>科室、主诊组</w:t>
      </w:r>
      <w:r>
        <w:rPr>
          <w:rFonts w:hint="eastAsia" w:ascii="宋体" w:hAnsi="宋体"/>
          <w:sz w:val="28"/>
          <w:szCs w:val="28"/>
        </w:rPr>
        <w:t>、</w:t>
      </w:r>
      <w:r>
        <w:rPr>
          <w:rFonts w:ascii="宋体" w:hAnsi="宋体"/>
          <w:sz w:val="28"/>
          <w:szCs w:val="28"/>
        </w:rPr>
        <w:t>责任医生</w:t>
      </w:r>
      <w:r>
        <w:rPr>
          <w:rFonts w:hint="eastAsia" w:ascii="宋体" w:hAnsi="宋体"/>
          <w:sz w:val="28"/>
          <w:szCs w:val="28"/>
        </w:rPr>
        <w:t>结算</w:t>
      </w:r>
      <w:r>
        <w:rPr>
          <w:rFonts w:ascii="宋体" w:hAnsi="宋体"/>
          <w:sz w:val="28"/>
          <w:szCs w:val="28"/>
        </w:rPr>
        <w:t>差异对比</w:t>
      </w:r>
      <w:r>
        <w:rPr>
          <w:rFonts w:hint="eastAsia" w:ascii="宋体" w:hAnsi="宋体"/>
          <w:sz w:val="28"/>
          <w:szCs w:val="28"/>
        </w:rPr>
        <w:t>、</w:t>
      </w:r>
      <w:r>
        <w:rPr>
          <w:rFonts w:ascii="宋体" w:hAnsi="宋体"/>
          <w:sz w:val="28"/>
          <w:szCs w:val="28"/>
        </w:rPr>
        <w:t>总费用对比</w:t>
      </w:r>
      <w:r>
        <w:rPr>
          <w:rFonts w:hint="eastAsia" w:ascii="宋体" w:hAnsi="宋体"/>
          <w:sz w:val="28"/>
          <w:szCs w:val="28"/>
        </w:rPr>
        <w:t>、</w:t>
      </w:r>
      <w:r>
        <w:rPr>
          <w:rFonts w:ascii="宋体" w:hAnsi="宋体"/>
          <w:sz w:val="28"/>
          <w:szCs w:val="28"/>
        </w:rPr>
        <w:t>次均费用对比</w:t>
      </w:r>
      <w:r>
        <w:rPr>
          <w:rFonts w:hint="eastAsia" w:ascii="宋体" w:hAnsi="宋体"/>
          <w:sz w:val="28"/>
          <w:szCs w:val="28"/>
        </w:rPr>
        <w:t>、</w:t>
      </w:r>
      <w:r>
        <w:rPr>
          <w:rFonts w:ascii="宋体" w:hAnsi="宋体"/>
          <w:sz w:val="28"/>
          <w:szCs w:val="28"/>
        </w:rPr>
        <w:t>病例类型对比</w:t>
      </w:r>
      <w:r>
        <w:rPr>
          <w:rFonts w:hint="eastAsia" w:ascii="宋体" w:hAnsi="宋体"/>
          <w:sz w:val="28"/>
          <w:szCs w:val="28"/>
        </w:rPr>
        <w:t>、费用结构差异主因对比。</w:t>
      </w:r>
    </w:p>
    <w:p>
      <w:pPr>
        <w:pStyle w:val="7"/>
        <w:rPr>
          <w:rFonts w:ascii="宋体" w:hAnsi="宋体" w:eastAsia="宋体"/>
        </w:rPr>
      </w:pPr>
      <w:r>
        <w:rPr>
          <w:rFonts w:hint="eastAsia" w:ascii="宋体" w:hAnsi="宋体" w:eastAsia="宋体"/>
        </w:rPr>
        <w:t>MDC挖掘</w:t>
      </w:r>
    </w:p>
    <w:p>
      <w:pPr>
        <w:ind w:firstLine="560" w:firstLineChars="200"/>
        <w:rPr>
          <w:rFonts w:ascii="宋体" w:hAnsi="宋体"/>
          <w:sz w:val="28"/>
          <w:szCs w:val="28"/>
        </w:rPr>
      </w:pPr>
      <w:r>
        <w:rPr>
          <w:rFonts w:hint="eastAsia" w:ascii="宋体" w:hAnsi="宋体"/>
          <w:sz w:val="28"/>
          <w:szCs w:val="28"/>
        </w:rPr>
        <w:t>重点M</w:t>
      </w:r>
      <w:r>
        <w:rPr>
          <w:rFonts w:ascii="宋体" w:hAnsi="宋体"/>
          <w:sz w:val="28"/>
          <w:szCs w:val="28"/>
        </w:rPr>
        <w:t>DC识别</w:t>
      </w:r>
      <w:r>
        <w:rPr>
          <w:rFonts w:hint="eastAsia" w:ascii="宋体" w:hAnsi="宋体"/>
          <w:sz w:val="28"/>
          <w:szCs w:val="28"/>
        </w:rPr>
        <w:t>、M</w:t>
      </w:r>
      <w:r>
        <w:rPr>
          <w:rFonts w:ascii="宋体" w:hAnsi="宋体"/>
          <w:sz w:val="28"/>
          <w:szCs w:val="28"/>
        </w:rPr>
        <w:t>DC结算差异贡献度分析</w:t>
      </w:r>
      <w:r>
        <w:rPr>
          <w:rFonts w:hint="eastAsia" w:ascii="宋体" w:hAnsi="宋体"/>
          <w:sz w:val="28"/>
          <w:szCs w:val="28"/>
        </w:rPr>
        <w:t>，M</w:t>
      </w:r>
      <w:r>
        <w:rPr>
          <w:rFonts w:ascii="宋体" w:hAnsi="宋体"/>
          <w:sz w:val="28"/>
          <w:szCs w:val="28"/>
        </w:rPr>
        <w:t>DC结算差异及比例分析</w:t>
      </w:r>
      <w:r>
        <w:rPr>
          <w:rFonts w:hint="eastAsia" w:ascii="宋体" w:hAnsi="宋体"/>
          <w:sz w:val="28"/>
          <w:szCs w:val="28"/>
        </w:rPr>
        <w:t>、M</w:t>
      </w:r>
      <w:r>
        <w:rPr>
          <w:rFonts w:ascii="宋体" w:hAnsi="宋体"/>
          <w:sz w:val="28"/>
          <w:szCs w:val="28"/>
        </w:rPr>
        <w:t>DC</w:t>
      </w:r>
      <w:r>
        <w:rPr>
          <w:rFonts w:hint="eastAsia" w:ascii="宋体" w:hAnsi="宋体"/>
          <w:sz w:val="28"/>
          <w:szCs w:val="28"/>
        </w:rPr>
        <w:t>横向</w:t>
      </w:r>
      <w:r>
        <w:rPr>
          <w:rFonts w:ascii="宋体" w:hAnsi="宋体"/>
          <w:sz w:val="28"/>
          <w:szCs w:val="28"/>
        </w:rPr>
        <w:t>对比分析</w:t>
      </w:r>
      <w:r>
        <w:rPr>
          <w:rFonts w:hint="eastAsia" w:ascii="宋体" w:hAnsi="宋体"/>
          <w:sz w:val="28"/>
          <w:szCs w:val="28"/>
        </w:rPr>
        <w:t>。</w:t>
      </w:r>
    </w:p>
    <w:p>
      <w:pPr>
        <w:pStyle w:val="7"/>
        <w:rPr>
          <w:rFonts w:ascii="宋体" w:hAnsi="宋体" w:eastAsia="宋体"/>
        </w:rPr>
      </w:pPr>
      <w:r>
        <w:rPr>
          <w:rFonts w:hint="eastAsia" w:ascii="宋体" w:hAnsi="宋体" w:eastAsia="宋体"/>
        </w:rPr>
        <w:t>ADRG挖掘</w:t>
      </w:r>
    </w:p>
    <w:p>
      <w:pPr>
        <w:ind w:firstLine="560" w:firstLineChars="200"/>
        <w:rPr>
          <w:rFonts w:ascii="宋体" w:hAnsi="宋体"/>
          <w:sz w:val="28"/>
          <w:szCs w:val="28"/>
        </w:rPr>
      </w:pPr>
      <w:r>
        <w:rPr>
          <w:rFonts w:hint="eastAsia" w:ascii="宋体" w:hAnsi="宋体"/>
          <w:sz w:val="28"/>
          <w:szCs w:val="28"/>
        </w:rPr>
        <w:t>重点A</w:t>
      </w:r>
      <w:r>
        <w:rPr>
          <w:rFonts w:ascii="宋体" w:hAnsi="宋体"/>
          <w:sz w:val="28"/>
          <w:szCs w:val="28"/>
        </w:rPr>
        <w:t>DRG识别</w:t>
      </w:r>
      <w:r>
        <w:rPr>
          <w:rFonts w:hint="eastAsia" w:ascii="宋体" w:hAnsi="宋体"/>
          <w:sz w:val="28"/>
          <w:szCs w:val="28"/>
        </w:rPr>
        <w:t>、结算差异</w:t>
      </w:r>
      <w:r>
        <w:rPr>
          <w:rFonts w:ascii="宋体" w:hAnsi="宋体"/>
          <w:sz w:val="28"/>
          <w:szCs w:val="28"/>
        </w:rPr>
        <w:t>同比环比</w:t>
      </w:r>
      <w:r>
        <w:rPr>
          <w:rFonts w:hint="eastAsia" w:ascii="宋体" w:hAnsi="宋体"/>
          <w:sz w:val="28"/>
          <w:szCs w:val="28"/>
        </w:rPr>
        <w:t>、</w:t>
      </w:r>
      <w:r>
        <w:rPr>
          <w:rFonts w:ascii="宋体" w:hAnsi="宋体"/>
          <w:sz w:val="28"/>
          <w:szCs w:val="28"/>
        </w:rPr>
        <w:t>年度累计与月度预估分析</w:t>
      </w:r>
      <w:r>
        <w:rPr>
          <w:rFonts w:hint="eastAsia" w:ascii="宋体" w:hAnsi="宋体"/>
          <w:sz w:val="28"/>
          <w:szCs w:val="28"/>
        </w:rPr>
        <w:t>、A</w:t>
      </w:r>
      <w:r>
        <w:rPr>
          <w:rFonts w:ascii="宋体" w:hAnsi="宋体"/>
          <w:sz w:val="28"/>
          <w:szCs w:val="28"/>
        </w:rPr>
        <w:t>DRG结算差异及比例分析</w:t>
      </w:r>
      <w:r>
        <w:rPr>
          <w:rFonts w:hint="eastAsia" w:ascii="宋体" w:hAnsi="宋体"/>
          <w:sz w:val="28"/>
          <w:szCs w:val="28"/>
        </w:rPr>
        <w:t>、</w:t>
      </w:r>
      <w:r>
        <w:rPr>
          <w:rFonts w:ascii="宋体" w:hAnsi="宋体"/>
          <w:sz w:val="28"/>
          <w:szCs w:val="28"/>
        </w:rPr>
        <w:t>ADRG</w:t>
      </w:r>
      <w:r>
        <w:rPr>
          <w:rFonts w:hint="eastAsia" w:ascii="宋体" w:hAnsi="宋体"/>
          <w:sz w:val="28"/>
          <w:szCs w:val="28"/>
        </w:rPr>
        <w:t>横向</w:t>
      </w:r>
      <w:r>
        <w:rPr>
          <w:rFonts w:ascii="宋体" w:hAnsi="宋体"/>
          <w:sz w:val="28"/>
          <w:szCs w:val="28"/>
        </w:rPr>
        <w:t>对比分析</w:t>
      </w:r>
      <w:r>
        <w:rPr>
          <w:rFonts w:hint="eastAsia" w:ascii="宋体" w:hAnsi="宋体"/>
          <w:sz w:val="28"/>
          <w:szCs w:val="28"/>
        </w:rPr>
        <w:t>。</w:t>
      </w:r>
    </w:p>
    <w:p>
      <w:pPr>
        <w:pStyle w:val="7"/>
        <w:rPr>
          <w:rFonts w:ascii="宋体" w:hAnsi="宋体" w:eastAsia="宋体"/>
        </w:rPr>
      </w:pPr>
      <w:r>
        <w:rPr>
          <w:rFonts w:hint="eastAsia" w:ascii="宋体" w:hAnsi="宋体" w:eastAsia="宋体"/>
        </w:rPr>
        <w:t>DRG挖掘</w:t>
      </w:r>
    </w:p>
    <w:p>
      <w:pPr>
        <w:ind w:firstLine="560" w:firstLineChars="200"/>
        <w:rPr>
          <w:rFonts w:ascii="宋体" w:hAnsi="宋体"/>
          <w:sz w:val="28"/>
          <w:szCs w:val="28"/>
        </w:rPr>
      </w:pPr>
      <w:r>
        <w:rPr>
          <w:rFonts w:hint="eastAsia" w:ascii="宋体" w:hAnsi="宋体"/>
          <w:sz w:val="28"/>
          <w:szCs w:val="28"/>
        </w:rPr>
        <w:t>重点</w:t>
      </w:r>
      <w:r>
        <w:rPr>
          <w:rFonts w:ascii="宋体" w:hAnsi="宋体"/>
          <w:sz w:val="28"/>
          <w:szCs w:val="28"/>
        </w:rPr>
        <w:t>DRG识别</w:t>
      </w:r>
      <w:r>
        <w:rPr>
          <w:rFonts w:hint="eastAsia" w:ascii="宋体" w:hAnsi="宋体"/>
          <w:sz w:val="28"/>
          <w:szCs w:val="28"/>
        </w:rPr>
        <w:t>、结算差异</w:t>
      </w:r>
      <w:r>
        <w:rPr>
          <w:rFonts w:ascii="宋体" w:hAnsi="宋体"/>
          <w:sz w:val="28"/>
          <w:szCs w:val="28"/>
        </w:rPr>
        <w:t>同比环比</w:t>
      </w:r>
      <w:r>
        <w:rPr>
          <w:rFonts w:hint="eastAsia" w:ascii="宋体" w:hAnsi="宋体"/>
          <w:sz w:val="28"/>
          <w:szCs w:val="28"/>
        </w:rPr>
        <w:t>、</w:t>
      </w:r>
      <w:r>
        <w:rPr>
          <w:rFonts w:ascii="宋体" w:hAnsi="宋体"/>
          <w:sz w:val="28"/>
          <w:szCs w:val="28"/>
        </w:rPr>
        <w:t>年度累计与月度预估分析</w:t>
      </w:r>
      <w:r>
        <w:rPr>
          <w:rFonts w:hint="eastAsia" w:ascii="宋体" w:hAnsi="宋体"/>
          <w:sz w:val="28"/>
          <w:szCs w:val="28"/>
        </w:rPr>
        <w:t>、D</w:t>
      </w:r>
      <w:r>
        <w:rPr>
          <w:rFonts w:ascii="宋体" w:hAnsi="宋体"/>
          <w:sz w:val="28"/>
          <w:szCs w:val="28"/>
        </w:rPr>
        <w:t>RG结算差异及比例分析</w:t>
      </w:r>
      <w:r>
        <w:rPr>
          <w:rFonts w:hint="eastAsia" w:ascii="宋体" w:hAnsi="宋体"/>
          <w:sz w:val="28"/>
          <w:szCs w:val="28"/>
        </w:rPr>
        <w:t>、</w:t>
      </w:r>
      <w:r>
        <w:rPr>
          <w:rFonts w:ascii="宋体" w:hAnsi="宋体"/>
          <w:sz w:val="28"/>
          <w:szCs w:val="28"/>
        </w:rPr>
        <w:t>DRG</w:t>
      </w:r>
      <w:r>
        <w:rPr>
          <w:rFonts w:hint="eastAsia" w:ascii="宋体" w:hAnsi="宋体"/>
          <w:sz w:val="28"/>
          <w:szCs w:val="28"/>
        </w:rPr>
        <w:t>横向</w:t>
      </w:r>
      <w:r>
        <w:rPr>
          <w:rFonts w:ascii="宋体" w:hAnsi="宋体"/>
          <w:sz w:val="28"/>
          <w:szCs w:val="28"/>
        </w:rPr>
        <w:t>对比分析</w:t>
      </w:r>
      <w:r>
        <w:rPr>
          <w:rFonts w:hint="eastAsia" w:ascii="宋体" w:hAnsi="宋体"/>
          <w:sz w:val="28"/>
          <w:szCs w:val="28"/>
        </w:rPr>
        <w:t>。</w:t>
      </w:r>
    </w:p>
    <w:p>
      <w:pPr>
        <w:pStyle w:val="7"/>
        <w:rPr>
          <w:rFonts w:ascii="宋体" w:hAnsi="宋体" w:eastAsia="宋体"/>
        </w:rPr>
      </w:pPr>
      <w:r>
        <w:rPr>
          <w:rFonts w:hint="eastAsia" w:ascii="宋体" w:hAnsi="宋体" w:eastAsia="宋体"/>
        </w:rPr>
        <w:t>明细挖掘</w:t>
      </w:r>
    </w:p>
    <w:p>
      <w:pPr>
        <w:ind w:firstLine="560" w:firstLineChars="200"/>
        <w:rPr>
          <w:rFonts w:ascii="宋体" w:hAnsi="宋体"/>
          <w:sz w:val="28"/>
          <w:szCs w:val="28"/>
        </w:rPr>
      </w:pPr>
      <w:r>
        <w:rPr>
          <w:rFonts w:ascii="宋体" w:hAnsi="宋体"/>
          <w:sz w:val="28"/>
          <w:szCs w:val="28"/>
        </w:rPr>
        <w:t>针对识别出的重点病组进行明细信息挖掘</w:t>
      </w:r>
      <w:r>
        <w:rPr>
          <w:rFonts w:hint="eastAsia" w:ascii="宋体" w:hAnsi="宋体"/>
          <w:sz w:val="28"/>
          <w:szCs w:val="28"/>
        </w:rPr>
        <w:t>，</w:t>
      </w:r>
      <w:r>
        <w:rPr>
          <w:rFonts w:ascii="宋体" w:hAnsi="宋体"/>
          <w:sz w:val="28"/>
          <w:szCs w:val="28"/>
        </w:rPr>
        <w:t>与医院个性化病组费用结构标杆值进行对比</w:t>
      </w:r>
      <w:r>
        <w:rPr>
          <w:rFonts w:hint="eastAsia" w:ascii="宋体" w:hAnsi="宋体"/>
          <w:sz w:val="28"/>
          <w:szCs w:val="28"/>
        </w:rPr>
        <w:t>，</w:t>
      </w:r>
      <w:r>
        <w:rPr>
          <w:rFonts w:ascii="宋体" w:hAnsi="宋体"/>
          <w:sz w:val="28"/>
          <w:szCs w:val="28"/>
        </w:rPr>
        <w:t>分析差异主因</w:t>
      </w:r>
      <w:r>
        <w:rPr>
          <w:rFonts w:hint="eastAsia" w:ascii="宋体" w:hAnsi="宋体"/>
          <w:sz w:val="28"/>
          <w:szCs w:val="28"/>
        </w:rPr>
        <w:t>，</w:t>
      </w:r>
      <w:r>
        <w:rPr>
          <w:rFonts w:ascii="宋体" w:hAnsi="宋体"/>
          <w:sz w:val="28"/>
          <w:szCs w:val="28"/>
        </w:rPr>
        <w:t>快速有效</w:t>
      </w:r>
      <w:r>
        <w:rPr>
          <w:rFonts w:hint="eastAsia" w:ascii="宋体" w:hAnsi="宋体"/>
          <w:sz w:val="28"/>
          <w:szCs w:val="28"/>
        </w:rPr>
        <w:t>定位</w:t>
      </w:r>
      <w:r>
        <w:rPr>
          <w:rFonts w:ascii="宋体" w:hAnsi="宋体"/>
          <w:sz w:val="28"/>
          <w:szCs w:val="28"/>
        </w:rPr>
        <w:t>合理控费关键</w:t>
      </w:r>
      <w:r>
        <w:rPr>
          <w:rFonts w:hint="eastAsia" w:ascii="宋体" w:hAnsi="宋体"/>
          <w:sz w:val="28"/>
          <w:szCs w:val="28"/>
        </w:rPr>
        <w:t>。</w:t>
      </w:r>
    </w:p>
    <w:p>
      <w:pPr>
        <w:rPr>
          <w:rFonts w:ascii="宋体" w:hAnsi="宋体"/>
          <w:sz w:val="28"/>
          <w:szCs w:val="28"/>
        </w:rPr>
      </w:pPr>
    </w:p>
    <w:p>
      <w:pPr>
        <w:pStyle w:val="6"/>
        <w:rPr>
          <w:rFonts w:ascii="宋体" w:hAnsi="宋体" w:eastAsia="宋体"/>
          <w:sz w:val="28"/>
        </w:rPr>
      </w:pPr>
      <w:r>
        <w:rPr>
          <w:rFonts w:hint="eastAsia" w:ascii="宋体" w:hAnsi="宋体" w:eastAsia="宋体"/>
          <w:sz w:val="28"/>
        </w:rPr>
        <w:t>★监控预警</w:t>
      </w:r>
    </w:p>
    <w:p>
      <w:pPr>
        <w:pStyle w:val="7"/>
        <w:rPr>
          <w:rFonts w:ascii="宋体" w:hAnsi="宋体" w:eastAsia="宋体"/>
        </w:rPr>
      </w:pPr>
      <w:r>
        <w:rPr>
          <w:rFonts w:hint="eastAsia" w:ascii="宋体" w:hAnsi="宋体" w:eastAsia="宋体"/>
        </w:rPr>
        <w:t>DRG综合比例风控预警模型</w:t>
      </w:r>
    </w:p>
    <w:p>
      <w:pPr>
        <w:ind w:firstLine="560" w:firstLineChars="200"/>
        <w:rPr>
          <w:rFonts w:ascii="宋体" w:hAnsi="宋体" w:cs="宋体"/>
          <w:color w:val="000000"/>
          <w:sz w:val="28"/>
          <w:szCs w:val="28"/>
        </w:rPr>
      </w:pPr>
      <w:r>
        <w:rPr>
          <w:rFonts w:ascii="宋体" w:hAnsi="宋体" w:cs="宋体"/>
          <w:color w:val="000000"/>
          <w:sz w:val="28"/>
          <w:szCs w:val="28"/>
        </w:rPr>
        <w:t>创建综合比例风控预警模型</w:t>
      </w:r>
      <w:r>
        <w:rPr>
          <w:rFonts w:hint="eastAsia" w:ascii="宋体" w:hAnsi="宋体" w:cs="宋体"/>
          <w:color w:val="000000"/>
          <w:sz w:val="28"/>
          <w:szCs w:val="28"/>
        </w:rPr>
        <w:t>，</w:t>
      </w:r>
      <w:r>
        <w:rPr>
          <w:rFonts w:ascii="宋体" w:hAnsi="宋体" w:cs="宋体"/>
          <w:color w:val="000000"/>
          <w:sz w:val="28"/>
          <w:szCs w:val="28"/>
        </w:rPr>
        <w:t>针对年度及月度进行</w:t>
      </w:r>
      <w:r>
        <w:rPr>
          <w:rFonts w:hint="eastAsia" w:ascii="宋体" w:hAnsi="宋体" w:cs="宋体"/>
          <w:color w:val="000000"/>
          <w:sz w:val="28"/>
          <w:szCs w:val="28"/>
        </w:rPr>
        <w:t>多维度指标监控。</w:t>
      </w:r>
    </w:p>
    <w:p>
      <w:pPr>
        <w:rPr>
          <w:rFonts w:ascii="宋体" w:hAnsi="宋体"/>
          <w:sz w:val="28"/>
          <w:szCs w:val="28"/>
        </w:rPr>
      </w:pPr>
    </w:p>
    <w:p>
      <w:pPr>
        <w:pStyle w:val="7"/>
        <w:rPr>
          <w:rFonts w:ascii="宋体" w:hAnsi="宋体" w:eastAsia="宋体"/>
        </w:rPr>
      </w:pPr>
      <w:r>
        <w:rPr>
          <w:rFonts w:hint="eastAsia" w:ascii="宋体" w:hAnsi="宋体" w:eastAsia="宋体"/>
        </w:rPr>
        <w:t>病案填报预警</w:t>
      </w:r>
    </w:p>
    <w:p>
      <w:pPr>
        <w:ind w:firstLine="560" w:firstLineChars="200"/>
        <w:rPr>
          <w:rFonts w:ascii="宋体" w:hAnsi="宋体"/>
          <w:sz w:val="28"/>
          <w:szCs w:val="28"/>
        </w:rPr>
      </w:pPr>
      <w:r>
        <w:rPr>
          <w:rFonts w:ascii="宋体" w:hAnsi="宋体"/>
          <w:sz w:val="28"/>
          <w:szCs w:val="28"/>
        </w:rPr>
        <w:t>针对月度统计及年度累计两类时间维度下的病案首页诊断及手术填报情况实时汇总分析</w:t>
      </w:r>
      <w:r>
        <w:rPr>
          <w:rFonts w:hint="eastAsia" w:ascii="宋体" w:hAnsi="宋体"/>
          <w:sz w:val="28"/>
          <w:szCs w:val="28"/>
        </w:rPr>
        <w:t>，</w:t>
      </w:r>
      <w:r>
        <w:rPr>
          <w:rFonts w:ascii="宋体" w:hAnsi="宋体"/>
          <w:sz w:val="28"/>
          <w:szCs w:val="28"/>
        </w:rPr>
        <w:t>并依据全国及区域大数据标杆值对其进行风险等级判定</w:t>
      </w:r>
      <w:r>
        <w:rPr>
          <w:rFonts w:hint="eastAsia" w:ascii="宋体" w:hAnsi="宋体"/>
          <w:sz w:val="28"/>
          <w:szCs w:val="28"/>
        </w:rPr>
        <w:t>，</w:t>
      </w:r>
      <w:r>
        <w:rPr>
          <w:rFonts w:ascii="宋体" w:hAnsi="宋体"/>
          <w:sz w:val="28"/>
          <w:szCs w:val="28"/>
        </w:rPr>
        <w:t>预警提示可能存在的风险</w:t>
      </w:r>
      <w:r>
        <w:rPr>
          <w:rFonts w:hint="eastAsia" w:ascii="宋体" w:hAnsi="宋体"/>
          <w:sz w:val="28"/>
          <w:szCs w:val="28"/>
        </w:rPr>
        <w:t>。</w:t>
      </w:r>
    </w:p>
    <w:p>
      <w:pPr>
        <w:rPr>
          <w:rFonts w:ascii="宋体" w:hAnsi="宋体"/>
          <w:sz w:val="28"/>
          <w:szCs w:val="28"/>
        </w:rPr>
      </w:pPr>
    </w:p>
    <w:p>
      <w:pPr>
        <w:pStyle w:val="7"/>
        <w:rPr>
          <w:rFonts w:ascii="宋体" w:hAnsi="宋体" w:eastAsia="宋体"/>
        </w:rPr>
      </w:pPr>
      <w:r>
        <w:rPr>
          <w:rFonts w:hint="eastAsia" w:ascii="宋体" w:hAnsi="宋体" w:eastAsia="宋体"/>
        </w:rPr>
        <w:t>推诿重症预警</w:t>
      </w:r>
    </w:p>
    <w:p>
      <w:pPr>
        <w:ind w:firstLine="560" w:firstLineChars="200"/>
        <w:rPr>
          <w:rFonts w:ascii="宋体" w:hAnsi="宋体"/>
          <w:sz w:val="28"/>
          <w:szCs w:val="28"/>
        </w:rPr>
      </w:pPr>
      <w:r>
        <w:rPr>
          <w:rFonts w:ascii="宋体" w:hAnsi="宋体"/>
          <w:sz w:val="28"/>
          <w:szCs w:val="28"/>
        </w:rPr>
        <w:t>根据全国及区域大数据</w:t>
      </w:r>
      <w:r>
        <w:rPr>
          <w:rFonts w:hint="eastAsia" w:ascii="宋体" w:hAnsi="宋体"/>
          <w:sz w:val="28"/>
          <w:szCs w:val="28"/>
        </w:rPr>
        <w:t>，</w:t>
      </w:r>
      <w:r>
        <w:rPr>
          <w:rFonts w:ascii="宋体" w:hAnsi="宋体"/>
          <w:sz w:val="28"/>
          <w:szCs w:val="28"/>
        </w:rPr>
        <w:t>结合医院实际情况</w:t>
      </w:r>
      <w:r>
        <w:rPr>
          <w:rFonts w:hint="eastAsia" w:ascii="宋体" w:hAnsi="宋体"/>
          <w:sz w:val="28"/>
          <w:szCs w:val="28"/>
        </w:rPr>
        <w:t>，</w:t>
      </w:r>
      <w:r>
        <w:rPr>
          <w:rFonts w:ascii="宋体" w:hAnsi="宋体"/>
          <w:sz w:val="28"/>
          <w:szCs w:val="28"/>
        </w:rPr>
        <w:t>创建重症风险预警模型</w:t>
      </w:r>
      <w:r>
        <w:rPr>
          <w:rFonts w:hint="eastAsia" w:ascii="宋体" w:hAnsi="宋体"/>
          <w:sz w:val="28"/>
          <w:szCs w:val="28"/>
        </w:rPr>
        <w:t>、</w:t>
      </w:r>
      <w:r>
        <w:rPr>
          <w:rFonts w:ascii="宋体" w:hAnsi="宋体"/>
          <w:sz w:val="28"/>
          <w:szCs w:val="28"/>
        </w:rPr>
        <w:t>权重风控预警模型</w:t>
      </w:r>
      <w:r>
        <w:rPr>
          <w:rFonts w:hint="eastAsia" w:ascii="宋体" w:hAnsi="宋体"/>
          <w:sz w:val="28"/>
          <w:szCs w:val="28"/>
        </w:rPr>
        <w:t>，</w:t>
      </w:r>
      <w:r>
        <w:rPr>
          <w:rFonts w:ascii="宋体" w:hAnsi="宋体"/>
          <w:sz w:val="28"/>
          <w:szCs w:val="28"/>
        </w:rPr>
        <w:t>实时动态监测预警提醒</w:t>
      </w:r>
      <w:r>
        <w:rPr>
          <w:rFonts w:hint="eastAsia" w:ascii="宋体" w:hAnsi="宋体"/>
          <w:sz w:val="28"/>
          <w:szCs w:val="28"/>
        </w:rPr>
        <w:t>，</w:t>
      </w:r>
      <w:r>
        <w:rPr>
          <w:rFonts w:ascii="宋体" w:hAnsi="宋体"/>
          <w:sz w:val="28"/>
          <w:szCs w:val="28"/>
        </w:rPr>
        <w:t>及时发现及降低推诿重症风险</w:t>
      </w:r>
      <w:r>
        <w:rPr>
          <w:rFonts w:hint="eastAsia" w:ascii="宋体" w:hAnsi="宋体"/>
          <w:sz w:val="28"/>
          <w:szCs w:val="28"/>
        </w:rPr>
        <w:t>。</w:t>
      </w:r>
    </w:p>
    <w:p>
      <w:pPr>
        <w:pStyle w:val="7"/>
        <w:rPr>
          <w:rFonts w:ascii="宋体" w:hAnsi="宋体" w:eastAsia="宋体"/>
        </w:rPr>
      </w:pPr>
      <w:r>
        <w:rPr>
          <w:rFonts w:hint="eastAsia" w:ascii="宋体" w:hAnsi="宋体" w:eastAsia="宋体"/>
        </w:rPr>
        <w:t>拆单控费预警</w:t>
      </w:r>
    </w:p>
    <w:p>
      <w:pPr>
        <w:ind w:firstLine="560" w:firstLineChars="200"/>
        <w:rPr>
          <w:rFonts w:ascii="宋体" w:hAnsi="宋体"/>
          <w:sz w:val="28"/>
          <w:szCs w:val="28"/>
        </w:rPr>
      </w:pPr>
      <w:r>
        <w:rPr>
          <w:rFonts w:ascii="宋体" w:hAnsi="宋体"/>
          <w:sz w:val="28"/>
          <w:szCs w:val="28"/>
        </w:rPr>
        <w:t>根据全国及区域大数据</w:t>
      </w:r>
      <w:r>
        <w:rPr>
          <w:rFonts w:hint="eastAsia" w:ascii="宋体" w:hAnsi="宋体"/>
          <w:sz w:val="28"/>
          <w:szCs w:val="28"/>
        </w:rPr>
        <w:t>，</w:t>
      </w:r>
      <w:r>
        <w:rPr>
          <w:rFonts w:ascii="宋体" w:hAnsi="宋体"/>
          <w:sz w:val="28"/>
          <w:szCs w:val="28"/>
        </w:rPr>
        <w:t>结合医院实际情况</w:t>
      </w:r>
      <w:r>
        <w:rPr>
          <w:rFonts w:hint="eastAsia" w:ascii="宋体" w:hAnsi="宋体"/>
          <w:sz w:val="28"/>
          <w:szCs w:val="28"/>
        </w:rPr>
        <w:t>，</w:t>
      </w:r>
      <w:r>
        <w:rPr>
          <w:rFonts w:ascii="宋体" w:hAnsi="宋体"/>
          <w:sz w:val="28"/>
          <w:szCs w:val="28"/>
        </w:rPr>
        <w:t>创建</w:t>
      </w:r>
      <w:r>
        <w:rPr>
          <w:rFonts w:hint="eastAsia" w:ascii="宋体" w:hAnsi="宋体"/>
          <w:sz w:val="28"/>
          <w:szCs w:val="28"/>
        </w:rPr>
        <w:t>费用</w:t>
      </w:r>
      <w:r>
        <w:rPr>
          <w:rFonts w:ascii="宋体" w:hAnsi="宋体"/>
          <w:sz w:val="28"/>
          <w:szCs w:val="28"/>
        </w:rPr>
        <w:t>常规预警模型</w:t>
      </w:r>
      <w:r>
        <w:rPr>
          <w:rFonts w:hint="eastAsia" w:ascii="宋体" w:hAnsi="宋体"/>
          <w:sz w:val="28"/>
          <w:szCs w:val="28"/>
        </w:rPr>
        <w:t>、费用</w:t>
      </w:r>
      <w:r>
        <w:rPr>
          <w:rFonts w:ascii="宋体" w:hAnsi="宋体"/>
          <w:sz w:val="28"/>
          <w:szCs w:val="28"/>
        </w:rPr>
        <w:t>异常预警模型</w:t>
      </w:r>
      <w:r>
        <w:rPr>
          <w:rFonts w:hint="eastAsia" w:ascii="宋体" w:hAnsi="宋体"/>
          <w:sz w:val="28"/>
          <w:szCs w:val="28"/>
        </w:rPr>
        <w:t>，</w:t>
      </w:r>
      <w:r>
        <w:rPr>
          <w:rFonts w:ascii="宋体" w:hAnsi="宋体"/>
          <w:sz w:val="28"/>
          <w:szCs w:val="28"/>
        </w:rPr>
        <w:t>实时动态监测预警提醒</w:t>
      </w:r>
      <w:r>
        <w:rPr>
          <w:rFonts w:hint="eastAsia" w:ascii="宋体" w:hAnsi="宋体"/>
          <w:sz w:val="28"/>
          <w:szCs w:val="28"/>
        </w:rPr>
        <w:t>，</w:t>
      </w:r>
      <w:r>
        <w:rPr>
          <w:rFonts w:ascii="宋体" w:hAnsi="宋体"/>
          <w:sz w:val="28"/>
          <w:szCs w:val="28"/>
        </w:rPr>
        <w:t>及时发现及降低</w:t>
      </w:r>
      <w:r>
        <w:rPr>
          <w:rFonts w:hint="eastAsia" w:ascii="宋体" w:hAnsi="宋体"/>
          <w:sz w:val="28"/>
          <w:szCs w:val="28"/>
        </w:rPr>
        <w:t>拆单</w:t>
      </w:r>
      <w:r>
        <w:rPr>
          <w:rFonts w:ascii="宋体" w:hAnsi="宋体"/>
          <w:sz w:val="28"/>
          <w:szCs w:val="28"/>
        </w:rPr>
        <w:t>等不良行为风险</w:t>
      </w:r>
      <w:r>
        <w:rPr>
          <w:rFonts w:hint="eastAsia" w:ascii="宋体" w:hAnsi="宋体"/>
          <w:sz w:val="28"/>
          <w:szCs w:val="28"/>
        </w:rPr>
        <w:t>，</w:t>
      </w:r>
      <w:r>
        <w:rPr>
          <w:rFonts w:ascii="宋体" w:hAnsi="宋体"/>
          <w:sz w:val="28"/>
          <w:szCs w:val="28"/>
        </w:rPr>
        <w:t>同时针对医院控费力度不足时进行及时预警</w:t>
      </w:r>
      <w:r>
        <w:rPr>
          <w:rFonts w:hint="eastAsia" w:ascii="宋体" w:hAnsi="宋体"/>
          <w:sz w:val="28"/>
          <w:szCs w:val="28"/>
        </w:rPr>
        <w:t>。</w:t>
      </w:r>
    </w:p>
    <w:p>
      <w:pPr>
        <w:pStyle w:val="7"/>
        <w:rPr>
          <w:rFonts w:ascii="宋体" w:hAnsi="宋体" w:eastAsia="宋体"/>
        </w:rPr>
      </w:pPr>
      <w:r>
        <w:rPr>
          <w:rFonts w:hint="eastAsia" w:ascii="宋体" w:hAnsi="宋体" w:eastAsia="宋体"/>
        </w:rPr>
        <w:t>患者负担监控</w:t>
      </w:r>
    </w:p>
    <w:p>
      <w:pPr>
        <w:ind w:firstLine="560" w:firstLineChars="200"/>
        <w:rPr>
          <w:rFonts w:ascii="宋体" w:hAnsi="宋体"/>
          <w:sz w:val="28"/>
          <w:szCs w:val="28"/>
        </w:rPr>
      </w:pPr>
      <w:r>
        <w:rPr>
          <w:rFonts w:ascii="宋体" w:hAnsi="宋体"/>
          <w:sz w:val="28"/>
          <w:szCs w:val="28"/>
        </w:rPr>
        <w:t>对患者自付及患者自费进行实时监控</w:t>
      </w:r>
      <w:r>
        <w:rPr>
          <w:rFonts w:hint="eastAsia" w:ascii="宋体" w:hAnsi="宋体"/>
          <w:sz w:val="28"/>
          <w:szCs w:val="28"/>
        </w:rPr>
        <w:t>，</w:t>
      </w:r>
      <w:r>
        <w:rPr>
          <w:rFonts w:ascii="宋体" w:hAnsi="宋体"/>
          <w:sz w:val="28"/>
          <w:szCs w:val="28"/>
        </w:rPr>
        <w:t>个性化配置预警值</w:t>
      </w:r>
      <w:r>
        <w:rPr>
          <w:rFonts w:hint="eastAsia" w:ascii="宋体" w:hAnsi="宋体"/>
          <w:sz w:val="28"/>
          <w:szCs w:val="28"/>
        </w:rPr>
        <w:t>。</w:t>
      </w:r>
    </w:p>
    <w:p>
      <w:pPr>
        <w:pStyle w:val="7"/>
        <w:rPr>
          <w:rFonts w:ascii="宋体" w:hAnsi="宋体" w:eastAsia="宋体"/>
        </w:rPr>
      </w:pPr>
      <w:r>
        <w:rPr>
          <w:rFonts w:hint="eastAsia" w:ascii="宋体" w:hAnsi="宋体" w:eastAsia="宋体"/>
        </w:rPr>
        <w:t>费用结构监控</w:t>
      </w:r>
    </w:p>
    <w:p>
      <w:pPr>
        <w:ind w:firstLine="560" w:firstLineChars="200"/>
        <w:rPr>
          <w:rFonts w:ascii="宋体" w:hAnsi="宋体"/>
          <w:sz w:val="28"/>
          <w:szCs w:val="28"/>
        </w:rPr>
      </w:pPr>
      <w:r>
        <w:rPr>
          <w:rFonts w:ascii="宋体" w:hAnsi="宋体"/>
          <w:sz w:val="28"/>
          <w:szCs w:val="28"/>
        </w:rPr>
        <w:t>对全院病例的费用结构进行汇总分析对比</w:t>
      </w:r>
      <w:r>
        <w:rPr>
          <w:rFonts w:hint="eastAsia" w:ascii="宋体" w:hAnsi="宋体"/>
          <w:sz w:val="28"/>
          <w:szCs w:val="28"/>
        </w:rPr>
        <w:t>。</w:t>
      </w:r>
    </w:p>
    <w:p>
      <w:pPr>
        <w:pStyle w:val="7"/>
        <w:rPr>
          <w:rFonts w:ascii="宋体" w:hAnsi="宋体" w:eastAsia="宋体"/>
        </w:rPr>
      </w:pPr>
      <w:r>
        <w:rPr>
          <w:rFonts w:hint="eastAsia" w:ascii="宋体" w:hAnsi="宋体" w:eastAsia="宋体"/>
        </w:rPr>
        <w:t>智能提醒</w:t>
      </w:r>
    </w:p>
    <w:p>
      <w:pPr>
        <w:ind w:firstLine="560" w:firstLineChars="200"/>
        <w:rPr>
          <w:rFonts w:ascii="宋体" w:hAnsi="宋体"/>
          <w:sz w:val="28"/>
          <w:szCs w:val="28"/>
        </w:rPr>
      </w:pPr>
      <w:r>
        <w:rPr>
          <w:rFonts w:ascii="宋体" w:hAnsi="宋体"/>
          <w:sz w:val="28"/>
          <w:szCs w:val="28"/>
        </w:rPr>
        <w:t>针对全院监控预警</w:t>
      </w:r>
      <w:r>
        <w:rPr>
          <w:rFonts w:hint="eastAsia" w:ascii="宋体" w:hAnsi="宋体"/>
          <w:sz w:val="28"/>
          <w:szCs w:val="28"/>
        </w:rPr>
        <w:t>，综合性多规则判定，智能文字汇报提醒。</w:t>
      </w:r>
    </w:p>
    <w:p>
      <w:pPr>
        <w:pStyle w:val="6"/>
        <w:rPr>
          <w:rFonts w:ascii="宋体" w:hAnsi="宋体" w:eastAsia="宋体"/>
          <w:sz w:val="28"/>
        </w:rPr>
      </w:pPr>
      <w:r>
        <w:rPr>
          <w:rFonts w:hint="eastAsia" w:ascii="宋体" w:hAnsi="宋体" w:eastAsia="宋体"/>
          <w:sz w:val="28"/>
        </w:rPr>
        <w:t>▲分组效能</w:t>
      </w:r>
    </w:p>
    <w:p>
      <w:pPr>
        <w:pStyle w:val="7"/>
        <w:rPr>
          <w:rFonts w:ascii="宋体" w:hAnsi="宋体" w:eastAsia="宋体"/>
        </w:rPr>
      </w:pPr>
      <w:r>
        <w:rPr>
          <w:rFonts w:hint="eastAsia" w:ascii="宋体" w:hAnsi="宋体" w:eastAsia="宋体"/>
        </w:rPr>
        <w:t>分组结果汇总分析</w:t>
      </w:r>
    </w:p>
    <w:p>
      <w:pPr>
        <w:ind w:firstLine="560" w:firstLineChars="200"/>
        <w:rPr>
          <w:rFonts w:ascii="宋体" w:hAnsi="宋体"/>
          <w:sz w:val="28"/>
          <w:szCs w:val="28"/>
        </w:rPr>
      </w:pPr>
      <w:r>
        <w:rPr>
          <w:rFonts w:ascii="宋体" w:hAnsi="宋体"/>
          <w:sz w:val="28"/>
          <w:szCs w:val="28"/>
        </w:rPr>
        <w:t>对出院病例进行汇总分析</w:t>
      </w:r>
      <w:r>
        <w:rPr>
          <w:rFonts w:hint="eastAsia" w:ascii="宋体" w:hAnsi="宋体"/>
          <w:sz w:val="28"/>
          <w:szCs w:val="28"/>
        </w:rPr>
        <w:t>，</w:t>
      </w:r>
      <w:r>
        <w:rPr>
          <w:rFonts w:ascii="宋体" w:hAnsi="宋体"/>
          <w:sz w:val="28"/>
          <w:szCs w:val="28"/>
        </w:rPr>
        <w:t>可视化展示纳入分组病例病例数量</w:t>
      </w:r>
      <w:r>
        <w:rPr>
          <w:rFonts w:hint="eastAsia" w:ascii="宋体" w:hAnsi="宋体"/>
          <w:sz w:val="28"/>
          <w:szCs w:val="28"/>
        </w:rPr>
        <w:t>、</w:t>
      </w:r>
      <w:r>
        <w:rPr>
          <w:rFonts w:ascii="宋体" w:hAnsi="宋体"/>
          <w:sz w:val="28"/>
          <w:szCs w:val="28"/>
        </w:rPr>
        <w:t>入组数量</w:t>
      </w:r>
      <w:r>
        <w:rPr>
          <w:rFonts w:hint="eastAsia" w:ascii="宋体" w:hAnsi="宋体"/>
          <w:sz w:val="28"/>
          <w:szCs w:val="28"/>
        </w:rPr>
        <w:t>，横向对比</w:t>
      </w:r>
      <w:r>
        <w:rPr>
          <w:rFonts w:ascii="宋体" w:hAnsi="宋体"/>
          <w:sz w:val="28"/>
          <w:szCs w:val="28"/>
        </w:rPr>
        <w:t>内科组</w:t>
      </w:r>
      <w:r>
        <w:rPr>
          <w:rFonts w:hint="eastAsia" w:ascii="宋体" w:hAnsi="宋体"/>
          <w:sz w:val="28"/>
          <w:szCs w:val="28"/>
        </w:rPr>
        <w:t>、</w:t>
      </w:r>
      <w:r>
        <w:rPr>
          <w:rFonts w:ascii="宋体" w:hAnsi="宋体"/>
          <w:sz w:val="28"/>
          <w:szCs w:val="28"/>
        </w:rPr>
        <w:t>外科手术组</w:t>
      </w:r>
      <w:r>
        <w:rPr>
          <w:rFonts w:hint="eastAsia" w:ascii="宋体" w:hAnsi="宋体"/>
          <w:sz w:val="28"/>
          <w:szCs w:val="28"/>
        </w:rPr>
        <w:t>、</w:t>
      </w:r>
      <w:r>
        <w:rPr>
          <w:rFonts w:ascii="宋体" w:hAnsi="宋体"/>
          <w:sz w:val="28"/>
          <w:szCs w:val="28"/>
        </w:rPr>
        <w:t>非手术操作组的病例数量</w:t>
      </w:r>
      <w:r>
        <w:rPr>
          <w:rFonts w:hint="eastAsia" w:ascii="宋体" w:hAnsi="宋体"/>
          <w:sz w:val="28"/>
          <w:szCs w:val="28"/>
        </w:rPr>
        <w:t>。</w:t>
      </w:r>
    </w:p>
    <w:p>
      <w:pPr>
        <w:pStyle w:val="7"/>
        <w:rPr>
          <w:rFonts w:ascii="宋体" w:hAnsi="宋体" w:eastAsia="宋体"/>
        </w:rPr>
      </w:pPr>
      <w:r>
        <w:rPr>
          <w:rFonts w:hint="eastAsia" w:ascii="宋体" w:hAnsi="宋体" w:eastAsia="宋体"/>
        </w:rPr>
        <w:t>分组效能评估</w:t>
      </w:r>
    </w:p>
    <w:p>
      <w:pPr>
        <w:ind w:firstLine="560" w:firstLineChars="200"/>
        <w:rPr>
          <w:rFonts w:ascii="宋体" w:hAnsi="宋体"/>
          <w:sz w:val="28"/>
          <w:szCs w:val="28"/>
        </w:rPr>
      </w:pPr>
      <w:r>
        <w:rPr>
          <w:rFonts w:ascii="宋体" w:hAnsi="宋体"/>
          <w:sz w:val="28"/>
          <w:szCs w:val="28"/>
        </w:rPr>
        <w:t>对总体病例入组率</w:t>
      </w:r>
      <w:r>
        <w:rPr>
          <w:rFonts w:hint="eastAsia" w:ascii="宋体" w:hAnsi="宋体"/>
          <w:sz w:val="28"/>
          <w:szCs w:val="28"/>
        </w:rPr>
        <w:t>（同比、环比）、覆盖广度A</w:t>
      </w:r>
      <w:r>
        <w:rPr>
          <w:rFonts w:ascii="宋体" w:hAnsi="宋体"/>
          <w:sz w:val="28"/>
          <w:szCs w:val="28"/>
        </w:rPr>
        <w:t>DRG组数</w:t>
      </w:r>
      <w:r>
        <w:rPr>
          <w:rFonts w:hint="eastAsia" w:ascii="宋体" w:hAnsi="宋体"/>
          <w:sz w:val="28"/>
          <w:szCs w:val="28"/>
        </w:rPr>
        <w:t>、D</w:t>
      </w:r>
      <w:r>
        <w:rPr>
          <w:rFonts w:ascii="宋体" w:hAnsi="宋体"/>
          <w:sz w:val="28"/>
          <w:szCs w:val="28"/>
        </w:rPr>
        <w:t>RG组数</w:t>
      </w:r>
      <w:r>
        <w:rPr>
          <w:rFonts w:hint="eastAsia" w:ascii="宋体" w:hAnsi="宋体"/>
          <w:sz w:val="28"/>
          <w:szCs w:val="28"/>
        </w:rPr>
        <w:t>、C</w:t>
      </w:r>
      <w:r>
        <w:rPr>
          <w:rFonts w:ascii="宋体" w:hAnsi="宋体"/>
          <w:sz w:val="28"/>
          <w:szCs w:val="28"/>
        </w:rPr>
        <w:t>V</w:t>
      </w:r>
      <w:r>
        <w:rPr>
          <w:rFonts w:hint="eastAsia" w:ascii="宋体" w:hAnsi="宋体"/>
          <w:sz w:val="28"/>
          <w:szCs w:val="28"/>
        </w:rPr>
        <w:t>、R</w:t>
      </w:r>
      <w:r>
        <w:rPr>
          <w:rFonts w:ascii="宋体" w:hAnsi="宋体"/>
          <w:sz w:val="28"/>
          <w:szCs w:val="28"/>
        </w:rPr>
        <w:t>IV进行统计分析</w:t>
      </w:r>
      <w:r>
        <w:rPr>
          <w:rFonts w:hint="eastAsia" w:ascii="宋体" w:hAnsi="宋体"/>
          <w:sz w:val="28"/>
          <w:szCs w:val="28"/>
        </w:rPr>
        <w:t>。</w:t>
      </w:r>
    </w:p>
    <w:p>
      <w:pPr>
        <w:pStyle w:val="6"/>
        <w:rPr>
          <w:rFonts w:ascii="宋体" w:hAnsi="宋体" w:eastAsia="宋体"/>
          <w:sz w:val="28"/>
        </w:rPr>
      </w:pPr>
      <w:r>
        <w:rPr>
          <w:rFonts w:hint="eastAsia" w:ascii="宋体" w:hAnsi="宋体" w:eastAsia="宋体"/>
          <w:sz w:val="28"/>
        </w:rPr>
        <w:t>★服务绩效</w:t>
      </w:r>
    </w:p>
    <w:p>
      <w:pPr>
        <w:pStyle w:val="7"/>
        <w:rPr>
          <w:rFonts w:ascii="宋体" w:hAnsi="宋体" w:eastAsia="宋体"/>
        </w:rPr>
      </w:pPr>
      <w:r>
        <w:rPr>
          <w:rFonts w:hint="eastAsia" w:ascii="宋体" w:hAnsi="宋体" w:eastAsia="宋体"/>
        </w:rPr>
        <w:t>医院绩效评价</w:t>
      </w:r>
    </w:p>
    <w:p>
      <w:pPr>
        <w:ind w:firstLine="560" w:firstLineChars="200"/>
        <w:rPr>
          <w:rFonts w:ascii="宋体" w:hAnsi="宋体"/>
          <w:sz w:val="28"/>
          <w:szCs w:val="28"/>
        </w:rPr>
      </w:pPr>
      <w:r>
        <w:rPr>
          <w:rFonts w:hint="eastAsia" w:ascii="宋体" w:hAnsi="宋体"/>
          <w:sz w:val="28"/>
          <w:szCs w:val="28"/>
        </w:rPr>
        <w:t>涵盖多维综合评价（因子分析模型）、服务能力评价、服务绩效评价、服务效率评价、服务质量与安全评价等维度，并提供时间序列趋势分析。通过历史数据前期分析并结合全国及地方区域大数据标杆，为医院在绩效管理方面提供院内决策依据、绩效分配导向、规则智能提醒、标准标杆比对，推动医院服务绩效考核管理评价及绩效分配进程。</w:t>
      </w:r>
    </w:p>
    <w:p>
      <w:pPr>
        <w:pStyle w:val="7"/>
        <w:rPr>
          <w:rFonts w:ascii="宋体" w:hAnsi="宋体" w:eastAsia="宋体"/>
        </w:rPr>
      </w:pPr>
      <w:r>
        <w:rPr>
          <w:rFonts w:hint="eastAsia" w:ascii="宋体" w:hAnsi="宋体" w:eastAsia="宋体"/>
        </w:rPr>
        <w:t>科室绩效评价</w:t>
      </w:r>
    </w:p>
    <w:p>
      <w:pPr>
        <w:ind w:firstLine="560" w:firstLineChars="200"/>
        <w:rPr>
          <w:rFonts w:ascii="宋体" w:hAnsi="宋体"/>
          <w:sz w:val="28"/>
          <w:szCs w:val="28"/>
        </w:rPr>
      </w:pPr>
      <w:r>
        <w:rPr>
          <w:rFonts w:ascii="宋体" w:hAnsi="宋体"/>
          <w:sz w:val="28"/>
          <w:szCs w:val="28"/>
        </w:rPr>
        <w:t>对各科室进行</w:t>
      </w:r>
      <w:r>
        <w:rPr>
          <w:rFonts w:hint="eastAsia" w:ascii="宋体" w:hAnsi="宋体"/>
          <w:sz w:val="28"/>
          <w:szCs w:val="28"/>
        </w:rPr>
        <w:t>多维综合评价（因子分析模型）、服务能力评价、服务绩效评价、服务效率评价、服务质量与安全评价。包含且不限于C</w:t>
      </w:r>
      <w:r>
        <w:rPr>
          <w:rFonts w:ascii="宋体" w:hAnsi="宋体"/>
          <w:sz w:val="28"/>
          <w:szCs w:val="28"/>
        </w:rPr>
        <w:t>MI</w:t>
      </w:r>
      <w:r>
        <w:rPr>
          <w:rFonts w:hint="eastAsia" w:ascii="宋体" w:hAnsi="宋体"/>
          <w:sz w:val="28"/>
          <w:szCs w:val="28"/>
        </w:rPr>
        <w:t>、</w:t>
      </w:r>
      <w:r>
        <w:rPr>
          <w:rFonts w:ascii="宋体" w:hAnsi="宋体"/>
          <w:sz w:val="28"/>
          <w:szCs w:val="28"/>
        </w:rPr>
        <w:t>时间消耗指数</w:t>
      </w:r>
      <w:r>
        <w:rPr>
          <w:rFonts w:hint="eastAsia" w:ascii="宋体" w:hAnsi="宋体"/>
          <w:sz w:val="28"/>
          <w:szCs w:val="28"/>
        </w:rPr>
        <w:t>、费用消耗指数、低风险组死亡率，再入院率等指标。</w:t>
      </w:r>
    </w:p>
    <w:p>
      <w:pPr>
        <w:pStyle w:val="7"/>
        <w:rPr>
          <w:rFonts w:ascii="宋体" w:hAnsi="宋体" w:eastAsia="宋体"/>
        </w:rPr>
      </w:pPr>
      <w:r>
        <w:rPr>
          <w:rFonts w:hint="eastAsia" w:ascii="宋体" w:hAnsi="宋体" w:eastAsia="宋体"/>
        </w:rPr>
        <w:t>科室绩效分配</w:t>
      </w:r>
    </w:p>
    <w:p>
      <w:pPr>
        <w:ind w:firstLine="560" w:firstLineChars="200"/>
        <w:rPr>
          <w:rFonts w:ascii="宋体" w:hAnsi="宋体"/>
          <w:sz w:val="28"/>
          <w:szCs w:val="28"/>
        </w:rPr>
      </w:pPr>
      <w:r>
        <w:rPr>
          <w:rFonts w:hint="eastAsia" w:ascii="宋体" w:hAnsi="宋体"/>
          <w:sz w:val="28"/>
          <w:szCs w:val="28"/>
        </w:rPr>
        <w:t>建立两版分配方案，分别通过D</w:t>
      </w:r>
      <w:r>
        <w:rPr>
          <w:rFonts w:ascii="宋体" w:hAnsi="宋体"/>
          <w:sz w:val="28"/>
          <w:szCs w:val="28"/>
        </w:rPr>
        <w:t>RG工作量法</w:t>
      </w:r>
      <w:r>
        <w:rPr>
          <w:rFonts w:hint="eastAsia" w:ascii="宋体" w:hAnsi="宋体"/>
          <w:sz w:val="28"/>
          <w:szCs w:val="28"/>
        </w:rPr>
        <w:t>、</w:t>
      </w:r>
      <w:r>
        <w:rPr>
          <w:rFonts w:ascii="宋体" w:hAnsi="宋体"/>
          <w:sz w:val="28"/>
          <w:szCs w:val="28"/>
        </w:rPr>
        <w:t>综合评价法对月度总绩效完成科室分配</w:t>
      </w:r>
      <w:r>
        <w:rPr>
          <w:rFonts w:hint="eastAsia" w:ascii="宋体" w:hAnsi="宋体"/>
          <w:sz w:val="28"/>
          <w:szCs w:val="28"/>
        </w:rPr>
        <w:t>，提供绩效分配结果参考。</w:t>
      </w:r>
    </w:p>
    <w:p>
      <w:pPr>
        <w:pStyle w:val="6"/>
        <w:rPr>
          <w:rFonts w:ascii="宋体" w:hAnsi="宋体" w:eastAsia="宋体"/>
          <w:sz w:val="28"/>
        </w:rPr>
      </w:pPr>
      <w:r>
        <w:rPr>
          <w:rFonts w:hint="eastAsia" w:ascii="宋体" w:hAnsi="宋体" w:eastAsia="宋体"/>
          <w:sz w:val="28"/>
        </w:rPr>
        <w:t>系统查询</w:t>
      </w:r>
    </w:p>
    <w:p>
      <w:pPr>
        <w:pStyle w:val="7"/>
        <w:rPr>
          <w:rFonts w:ascii="宋体" w:hAnsi="宋体" w:eastAsia="宋体"/>
        </w:rPr>
      </w:pPr>
      <w:r>
        <w:rPr>
          <w:rFonts w:hint="eastAsia" w:ascii="宋体" w:hAnsi="宋体" w:eastAsia="宋体"/>
        </w:rPr>
        <w:t>▲病组查询</w:t>
      </w:r>
    </w:p>
    <w:p>
      <w:pPr>
        <w:ind w:firstLine="560" w:firstLineChars="200"/>
        <w:rPr>
          <w:rFonts w:ascii="宋体" w:hAnsi="宋体"/>
          <w:sz w:val="28"/>
          <w:szCs w:val="28"/>
        </w:rPr>
      </w:pPr>
      <w:r>
        <w:rPr>
          <w:rFonts w:hint="eastAsia" w:ascii="宋体" w:hAnsi="宋体"/>
          <w:sz w:val="28"/>
          <w:szCs w:val="28"/>
        </w:rPr>
        <w:t>根据账号权限，实现病组在科室、主诊组、责任医生下的差异分析，定位差异主因、对入组病例数、总费用、平均住院天数、预估结算差额、差异比例等进行单项或综合查询。</w:t>
      </w:r>
    </w:p>
    <w:p>
      <w:pPr>
        <w:pStyle w:val="7"/>
        <w:rPr>
          <w:rFonts w:ascii="宋体" w:hAnsi="宋体" w:eastAsia="宋体"/>
        </w:rPr>
      </w:pPr>
      <w:r>
        <w:rPr>
          <w:rFonts w:hint="eastAsia" w:ascii="宋体" w:hAnsi="宋体" w:eastAsia="宋体"/>
        </w:rPr>
        <w:t>★病例查询</w:t>
      </w:r>
    </w:p>
    <w:p>
      <w:pPr>
        <w:ind w:firstLine="560" w:firstLineChars="200"/>
        <w:rPr>
          <w:rFonts w:ascii="宋体" w:hAnsi="宋体"/>
          <w:sz w:val="28"/>
          <w:szCs w:val="28"/>
        </w:rPr>
      </w:pPr>
      <w:r>
        <w:rPr>
          <w:rFonts w:hint="eastAsia" w:ascii="宋体" w:hAnsi="宋体"/>
          <w:sz w:val="28"/>
          <w:szCs w:val="28"/>
        </w:rPr>
        <w:t>根据全院及科室账号权限，实现病例在科室、主诊组、责任医生下的差异分析，定位差异主因、对病例类型、总费用、住院天数、预估结算差额、差异比例等进行单项或综合查询。</w:t>
      </w:r>
    </w:p>
    <w:p>
      <w:pPr>
        <w:pStyle w:val="4"/>
        <w:rPr>
          <w:rFonts w:ascii="宋体" w:hAnsi="宋体" w:eastAsia="宋体"/>
          <w:sz w:val="28"/>
          <w:szCs w:val="28"/>
        </w:rPr>
      </w:pPr>
      <w:bookmarkStart w:id="5" w:name="_Toc41316319"/>
      <w:r>
        <w:rPr>
          <w:rFonts w:ascii="宋体" w:hAnsi="宋体" w:eastAsia="宋体"/>
          <w:sz w:val="28"/>
          <w:szCs w:val="28"/>
        </w:rPr>
        <w:t>项目实施可行性分析</w:t>
      </w:r>
      <w:bookmarkEnd w:id="5"/>
    </w:p>
    <w:p>
      <w:pPr>
        <w:ind w:firstLine="560" w:firstLineChars="200"/>
        <w:jc w:val="left"/>
        <w:rPr>
          <w:rFonts w:ascii="宋体" w:hAnsi="宋体" w:cs="宋体"/>
          <w:color w:val="000000"/>
          <w:kern w:val="0"/>
          <w:sz w:val="28"/>
          <w:szCs w:val="28"/>
        </w:rPr>
      </w:pPr>
      <w:bookmarkStart w:id="6" w:name="_Toc14724_WPSOffice_Level3"/>
      <w:r>
        <w:rPr>
          <w:rFonts w:hint="eastAsia" w:ascii="宋体" w:hAnsi="宋体" w:cs="宋体"/>
          <w:color w:val="000000"/>
          <w:kern w:val="0"/>
          <w:sz w:val="28"/>
          <w:szCs w:val="28"/>
        </w:rPr>
        <w:t>对医院快速适应</w:t>
      </w:r>
      <w:r>
        <w:rPr>
          <w:rFonts w:ascii="宋体" w:hAnsi="宋体" w:cs="宋体"/>
          <w:color w:val="000000"/>
          <w:kern w:val="0"/>
          <w:sz w:val="28"/>
          <w:szCs w:val="28"/>
        </w:rPr>
        <w:t>D</w:t>
      </w:r>
      <w:r>
        <w:rPr>
          <w:rFonts w:hint="eastAsia" w:ascii="宋体" w:hAnsi="宋体" w:cs="宋体"/>
          <w:color w:val="000000"/>
          <w:kern w:val="0"/>
          <w:sz w:val="28"/>
          <w:szCs w:val="28"/>
        </w:rPr>
        <w:t>RG</w:t>
      </w:r>
      <w:r>
        <w:rPr>
          <w:rFonts w:ascii="宋体" w:hAnsi="宋体" w:cs="宋体"/>
          <w:color w:val="000000"/>
          <w:kern w:val="0"/>
          <w:sz w:val="28"/>
          <w:szCs w:val="28"/>
        </w:rPr>
        <w:t>支付</w:t>
      </w:r>
      <w:r>
        <w:rPr>
          <w:rFonts w:hint="eastAsia" w:ascii="宋体" w:hAnsi="宋体" w:cs="宋体"/>
          <w:color w:val="000000"/>
          <w:kern w:val="0"/>
          <w:sz w:val="28"/>
          <w:szCs w:val="28"/>
        </w:rPr>
        <w:t>方式改革提供了技术支撑及信息支撑，构建新一代的医保、医院、患者三方共赢的服务模式，同时规范医疗业务流程，提高运营效率，使医保基金与医疗资源服务效能最大化，从支持国家支付方式改革顺利推进的维度，助力缓解人民群众看病贵和看病难的问题。</w:t>
      </w:r>
    </w:p>
    <w:bookmarkEnd w:id="6"/>
    <w:p>
      <w:pPr>
        <w:pStyle w:val="4"/>
        <w:rPr>
          <w:rFonts w:ascii="宋体" w:hAnsi="宋体" w:eastAsia="宋体"/>
          <w:sz w:val="28"/>
          <w:szCs w:val="28"/>
        </w:rPr>
      </w:pPr>
      <w:bookmarkStart w:id="7" w:name="_Toc41316320"/>
      <w:r>
        <w:rPr>
          <w:rFonts w:ascii="宋体" w:hAnsi="宋体" w:eastAsia="宋体"/>
          <w:sz w:val="28"/>
          <w:szCs w:val="28"/>
        </w:rPr>
        <w:t>项目实施计划与周期</w:t>
      </w:r>
      <w:bookmarkEnd w:id="7"/>
    </w:p>
    <w:p>
      <w:pPr>
        <w:ind w:firstLine="560"/>
        <w:rPr>
          <w:rFonts w:ascii="宋体" w:hAnsi="宋体"/>
          <w:sz w:val="28"/>
          <w:szCs w:val="28"/>
        </w:rPr>
      </w:pPr>
      <w:r>
        <w:rPr>
          <w:rFonts w:ascii="宋体" w:hAnsi="宋体"/>
          <w:sz w:val="28"/>
          <w:szCs w:val="28"/>
        </w:rPr>
        <w:t>要求本次</w:t>
      </w:r>
      <w:r>
        <w:rPr>
          <w:rFonts w:hint="eastAsia" w:ascii="宋体" w:hAnsi="宋体"/>
          <w:sz w:val="28"/>
          <w:szCs w:val="28"/>
        </w:rPr>
        <w:t>涉及的</w:t>
      </w:r>
      <w:r>
        <w:rPr>
          <w:rFonts w:ascii="宋体" w:hAnsi="宋体"/>
          <w:sz w:val="28"/>
          <w:szCs w:val="28"/>
        </w:rPr>
        <w:t>所有系统软件在</w:t>
      </w:r>
      <w:r>
        <w:rPr>
          <w:rFonts w:hint="eastAsia" w:ascii="宋体" w:hAnsi="宋体"/>
          <w:sz w:val="28"/>
          <w:szCs w:val="28"/>
        </w:rPr>
        <w:t>2</w:t>
      </w:r>
      <w:r>
        <w:rPr>
          <w:rFonts w:ascii="宋体" w:hAnsi="宋体"/>
          <w:sz w:val="28"/>
          <w:szCs w:val="28"/>
        </w:rPr>
        <w:t>个月上线，每个系统上线稳定运行</w:t>
      </w:r>
      <w:r>
        <w:rPr>
          <w:rFonts w:hint="eastAsia" w:ascii="宋体" w:hAnsi="宋体"/>
          <w:sz w:val="28"/>
          <w:szCs w:val="28"/>
        </w:rPr>
        <w:t>半</w:t>
      </w:r>
      <w:r>
        <w:rPr>
          <w:rFonts w:ascii="宋体" w:hAnsi="宋体"/>
          <w:sz w:val="28"/>
          <w:szCs w:val="28"/>
        </w:rPr>
        <w:t>个月后可单独验收，全部系统软件验收须在</w:t>
      </w:r>
      <w:r>
        <w:rPr>
          <w:rFonts w:hint="eastAsia" w:ascii="宋体" w:hAnsi="宋体"/>
          <w:sz w:val="28"/>
          <w:szCs w:val="28"/>
        </w:rPr>
        <w:t>2</w:t>
      </w:r>
      <w:r>
        <w:rPr>
          <w:rFonts w:ascii="宋体" w:hAnsi="宋体"/>
          <w:sz w:val="28"/>
          <w:szCs w:val="28"/>
        </w:rPr>
        <w:t>个月内完成。要求上线系统按月提出项目进度计划和时间安排</w:t>
      </w:r>
      <w:r>
        <w:rPr>
          <w:rFonts w:hint="eastAsia" w:ascii="宋体" w:hAnsi="宋体"/>
          <w:sz w:val="28"/>
          <w:szCs w:val="28"/>
        </w:rPr>
        <w:t>。</w:t>
      </w:r>
    </w:p>
    <w:p>
      <w:pPr>
        <w:pStyle w:val="4"/>
        <w:rPr>
          <w:rFonts w:ascii="宋体" w:hAnsi="宋体" w:eastAsia="宋体" w:cs="Times New Roman Regular"/>
          <w:sz w:val="28"/>
          <w:szCs w:val="28"/>
        </w:rPr>
      </w:pPr>
      <w:r>
        <w:rPr>
          <w:rFonts w:ascii="宋体" w:hAnsi="宋体" w:eastAsia="宋体" w:cs="Times New Roman Regular"/>
          <w:sz w:val="28"/>
          <w:szCs w:val="28"/>
        </w:rPr>
        <w:t>项目售后服务要求</w:t>
      </w:r>
    </w:p>
    <w:p>
      <w:pPr>
        <w:pStyle w:val="18"/>
        <w:ind w:left="0" w:leftChars="0" w:firstLine="560" w:firstLineChars="200"/>
        <w:rPr>
          <w:rFonts w:ascii="宋体" w:hAnsi="宋体" w:cs="Times New Roman Regular"/>
          <w:kern w:val="0"/>
          <w:sz w:val="28"/>
          <w:szCs w:val="28"/>
        </w:rPr>
      </w:pPr>
      <w:r>
        <w:rPr>
          <w:rFonts w:ascii="宋体" w:hAnsi="宋体" w:cs="Times New Roman Regular"/>
          <w:color w:val="000000"/>
          <w:sz w:val="28"/>
          <w:szCs w:val="28"/>
        </w:rPr>
        <w:t>1</w:t>
      </w:r>
      <w:r>
        <w:rPr>
          <w:rFonts w:ascii="宋体" w:hAnsi="宋体" w:cs="Times New Roman Regular"/>
          <w:kern w:val="0"/>
          <w:sz w:val="28"/>
          <w:szCs w:val="28"/>
        </w:rPr>
        <w:t>）免费维护期</w:t>
      </w:r>
      <w:r>
        <w:rPr>
          <w:rFonts w:hint="eastAsia" w:ascii="宋体" w:hAnsi="宋体" w:cs="Times New Roman Regular"/>
          <w:kern w:val="0"/>
          <w:sz w:val="28"/>
          <w:szCs w:val="28"/>
        </w:rPr>
        <w:t>三</w:t>
      </w:r>
      <w:r>
        <w:rPr>
          <w:rFonts w:ascii="宋体" w:hAnsi="宋体" w:cs="Times New Roman Regular"/>
          <w:kern w:val="0"/>
          <w:sz w:val="28"/>
          <w:szCs w:val="28"/>
        </w:rPr>
        <w:t>年，免费维护期内，本合同项目所有技术和服务发生任何非人为故障，由供应商负责系统恢复。故障报修的响应时间为即时，到达现场的时间为4小时，小型故障恢复时间为4个小时，严重故障恢复时间为24小时内，并及时有效的提供解决方案。</w:t>
      </w:r>
    </w:p>
    <w:p>
      <w:pPr>
        <w:pStyle w:val="18"/>
        <w:ind w:left="0" w:leftChars="0" w:firstLine="560" w:firstLineChars="200"/>
        <w:rPr>
          <w:rFonts w:ascii="宋体" w:hAnsi="宋体" w:cs="Times New Roman Regular"/>
          <w:kern w:val="0"/>
          <w:sz w:val="28"/>
          <w:szCs w:val="28"/>
        </w:rPr>
      </w:pPr>
      <w:r>
        <w:rPr>
          <w:rFonts w:ascii="宋体" w:hAnsi="宋体" w:cs="Times New Roman Regular"/>
          <w:kern w:val="0"/>
          <w:sz w:val="28"/>
          <w:szCs w:val="28"/>
        </w:rPr>
        <w:t>2）免费维护期内，对采购人提出的</w:t>
      </w:r>
      <w:r>
        <w:rPr>
          <w:rFonts w:hint="eastAsia" w:ascii="宋体" w:hAnsi="宋体" w:cs="Times New Roman Regular"/>
          <w:kern w:val="0"/>
          <w:sz w:val="28"/>
          <w:szCs w:val="28"/>
        </w:rPr>
        <w:t>产品功能清单内的</w:t>
      </w:r>
      <w:r>
        <w:rPr>
          <w:rFonts w:ascii="宋体" w:hAnsi="宋体" w:cs="Times New Roman Regular"/>
          <w:kern w:val="0"/>
          <w:sz w:val="28"/>
          <w:szCs w:val="28"/>
        </w:rPr>
        <w:t>要求，供应商必须即时进行电话、邮件及远程网络支持，并在4小时内到场服务。如不到场，采购人有权自行处理，相关费用由供应商负责。</w:t>
      </w:r>
    </w:p>
    <w:p>
      <w:pPr>
        <w:pStyle w:val="18"/>
        <w:ind w:left="0" w:leftChars="0" w:firstLine="560" w:firstLineChars="200"/>
        <w:rPr>
          <w:rFonts w:ascii="宋体" w:hAnsi="宋体"/>
          <w:sz w:val="28"/>
          <w:szCs w:val="28"/>
        </w:rPr>
      </w:pPr>
      <w:r>
        <w:rPr>
          <w:rFonts w:ascii="宋体" w:hAnsi="宋体" w:cs="Times New Roman Regular"/>
          <w:kern w:val="0"/>
          <w:sz w:val="28"/>
          <w:szCs w:val="28"/>
        </w:rPr>
        <w:t>3）供应商需提供定期回访服务，对采购人提出的合理优化建议应提供免费升级服务。</w:t>
      </w:r>
    </w:p>
    <w:p>
      <w:pPr>
        <w:pStyle w:val="4"/>
        <w:rPr>
          <w:rFonts w:ascii="宋体" w:hAnsi="宋体" w:eastAsia="宋体"/>
          <w:sz w:val="28"/>
          <w:szCs w:val="28"/>
        </w:rPr>
      </w:pPr>
      <w:r>
        <w:rPr>
          <w:rFonts w:hint="eastAsia" w:ascii="宋体" w:hAnsi="宋体" w:eastAsia="宋体"/>
          <w:sz w:val="28"/>
          <w:szCs w:val="28"/>
        </w:rPr>
        <w:t>保密要求</w:t>
      </w:r>
    </w:p>
    <w:p>
      <w:pPr>
        <w:ind w:firstLine="560"/>
        <w:rPr>
          <w:rFonts w:ascii="宋体" w:hAnsi="宋体"/>
          <w:sz w:val="28"/>
          <w:szCs w:val="28"/>
        </w:rPr>
      </w:pPr>
      <w:r>
        <w:rPr>
          <w:rFonts w:hint="eastAsia" w:ascii="宋体" w:hAnsi="宋体"/>
          <w:sz w:val="28"/>
          <w:szCs w:val="28"/>
        </w:rPr>
        <w:t>供应商及工作人员应对本项目提供的有关专业数据、医院运作方式采取保密措施，严格遵守采购人保密要求，不得向其他第三方披露、复制，对本项目提供的所有文档资料保密，不得对外进行扩散。如有违反本保密规定的，应承担相应法律责任。</w:t>
      </w:r>
    </w:p>
    <w:p>
      <w:pPr>
        <w:pStyle w:val="18"/>
        <w:ind w:left="1040" w:hanging="560"/>
        <w:rPr>
          <w:rFonts w:ascii="宋体" w:hAnsi="宋体"/>
          <w:sz w:val="28"/>
          <w:szCs w:val="28"/>
        </w:rPr>
      </w:pPr>
    </w:p>
    <w:p>
      <w:pPr>
        <w:pStyle w:val="18"/>
        <w:ind w:left="0" w:leftChars="0" w:firstLine="0" w:firstLineChars="0"/>
        <w:rPr>
          <w:rFonts w:ascii="宋体" w:hAnsi="宋体"/>
          <w:sz w:val="28"/>
          <w:szCs w:val="28"/>
        </w:rPr>
      </w:pPr>
    </w:p>
    <w:sectPr>
      <w:pgSz w:w="11907" w:h="16840"/>
      <w:pgMar w:top="1418" w:right="1701" w:bottom="1134" w:left="1701" w:header="851" w:footer="85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decimal"/>
      <w:pStyle w:val="13"/>
      <w:lvlText w:val="%1."/>
      <w:lvlJc w:val="left"/>
      <w:pPr>
        <w:tabs>
          <w:tab w:val="left" w:pos="147"/>
        </w:tabs>
        <w:ind w:left="147" w:hanging="425"/>
      </w:pPr>
      <w:rPr>
        <w:rFonts w:ascii="Times New Roman" w:hAnsi="Times New Roman" w:eastAsia="Times New Roman" w:cs="Times New Roman"/>
      </w:rPr>
    </w:lvl>
    <w:lvl w:ilvl="1" w:tentative="0">
      <w:start w:val="1"/>
      <w:numFmt w:val="decimal"/>
      <w:lvlText w:val="%1.%2."/>
      <w:lvlJc w:val="left"/>
      <w:pPr>
        <w:tabs>
          <w:tab w:val="left" w:pos="289"/>
        </w:tabs>
        <w:ind w:left="289" w:hanging="567"/>
      </w:pPr>
    </w:lvl>
    <w:lvl w:ilvl="2" w:tentative="0">
      <w:start w:val="1"/>
      <w:numFmt w:val="decimal"/>
      <w:lvlText w:val="%1.%2.%3."/>
      <w:lvlJc w:val="left"/>
      <w:pPr>
        <w:tabs>
          <w:tab w:val="left" w:pos="431"/>
        </w:tabs>
        <w:ind w:left="431" w:hanging="709"/>
      </w:pPr>
    </w:lvl>
    <w:lvl w:ilvl="3" w:tentative="0">
      <w:start w:val="1"/>
      <w:numFmt w:val="decimal"/>
      <w:lvlText w:val="%1.%2.%3.%4."/>
      <w:lvlJc w:val="left"/>
      <w:pPr>
        <w:tabs>
          <w:tab w:val="left" w:pos="573"/>
        </w:tabs>
        <w:ind w:left="573" w:hanging="851"/>
      </w:pPr>
    </w:lvl>
    <w:lvl w:ilvl="4" w:tentative="0">
      <w:start w:val="1"/>
      <w:numFmt w:val="decimal"/>
      <w:lvlText w:val="%1.%2.%3.%4.%5."/>
      <w:lvlJc w:val="left"/>
      <w:pPr>
        <w:tabs>
          <w:tab w:val="left" w:pos="714"/>
        </w:tabs>
        <w:ind w:left="714" w:hanging="992"/>
      </w:pPr>
    </w:lvl>
    <w:lvl w:ilvl="5" w:tentative="0">
      <w:start w:val="1"/>
      <w:numFmt w:val="decimal"/>
      <w:lvlText w:val="%1.%2.%3.%4.%5.%6."/>
      <w:lvlJc w:val="left"/>
      <w:pPr>
        <w:tabs>
          <w:tab w:val="left" w:pos="856"/>
        </w:tabs>
        <w:ind w:left="856" w:hanging="1134"/>
      </w:pPr>
    </w:lvl>
    <w:lvl w:ilvl="6" w:tentative="0">
      <w:start w:val="1"/>
      <w:numFmt w:val="decimal"/>
      <w:lvlText w:val="%1.%2.%3.%4.%5.%6.%7."/>
      <w:lvlJc w:val="left"/>
      <w:pPr>
        <w:tabs>
          <w:tab w:val="left" w:pos="998"/>
        </w:tabs>
        <w:ind w:left="998" w:hanging="1276"/>
      </w:pPr>
    </w:lvl>
    <w:lvl w:ilvl="7" w:tentative="0">
      <w:start w:val="1"/>
      <w:numFmt w:val="decimal"/>
      <w:lvlText w:val="%1.%2.%3.%4.%5.%6.%7.%8."/>
      <w:lvlJc w:val="left"/>
      <w:pPr>
        <w:tabs>
          <w:tab w:val="left" w:pos="1140"/>
        </w:tabs>
        <w:ind w:left="1140" w:hanging="1418"/>
      </w:pPr>
    </w:lvl>
    <w:lvl w:ilvl="8" w:tentative="0">
      <w:start w:val="1"/>
      <w:numFmt w:val="decimal"/>
      <w:lvlText w:val="%1.%2.%3.%4.%5.%6.%7.%8.%9."/>
      <w:lvlJc w:val="left"/>
      <w:pPr>
        <w:tabs>
          <w:tab w:val="left" w:pos="1281"/>
        </w:tabs>
        <w:ind w:left="1281" w:hanging="1559"/>
      </w:pPr>
    </w:lvl>
  </w:abstractNum>
  <w:abstractNum w:abstractNumId="1">
    <w:nsid w:val="428C27D9"/>
    <w:multiLevelType w:val="multilevel"/>
    <w:tmpl w:val="428C27D9"/>
    <w:lvl w:ilvl="0" w:tentative="0">
      <w:start w:val="1"/>
      <w:numFmt w:val="chineseCountingThousand"/>
      <w:pStyle w:val="2"/>
      <w:lvlText w:val="%1、"/>
      <w:lvlJc w:val="left"/>
      <w:pPr>
        <w:ind w:left="0" w:firstLine="0"/>
      </w:pPr>
      <w:rPr>
        <w:rFonts w:hint="eastAsia"/>
      </w:rPr>
    </w:lvl>
    <w:lvl w:ilvl="1" w:tentative="0">
      <w:start w:val="1"/>
      <w:numFmt w:val="decimal"/>
      <w:pStyle w:val="4"/>
      <w:isLgl/>
      <w:lvlText w:val="%1.%2"/>
      <w:lvlJc w:val="left"/>
      <w:pPr>
        <w:ind w:left="0" w:firstLine="0"/>
      </w:pPr>
      <w:rPr>
        <w:rFonts w:hint="eastAsia"/>
      </w:rPr>
    </w:lvl>
    <w:lvl w:ilvl="2" w:tentative="0">
      <w:start w:val="1"/>
      <w:numFmt w:val="decimal"/>
      <w:pStyle w:val="5"/>
      <w:isLgl/>
      <w:lvlText w:val="%1.%2.%3"/>
      <w:lvlJc w:val="left"/>
      <w:pPr>
        <w:ind w:left="0" w:firstLine="0"/>
      </w:pPr>
      <w:rPr>
        <w:rFonts w:hint="eastAsia"/>
      </w:rPr>
    </w:lvl>
    <w:lvl w:ilvl="3" w:tentative="0">
      <w:start w:val="1"/>
      <w:numFmt w:val="decimal"/>
      <w:pStyle w:val="6"/>
      <w:isLgl/>
      <w:lvlText w:val="%1.%2.%3.%4"/>
      <w:lvlJc w:val="left"/>
      <w:pPr>
        <w:ind w:left="0" w:firstLine="0"/>
      </w:pPr>
      <w:rPr>
        <w:rFonts w:hint="eastAsia"/>
      </w:rPr>
    </w:lvl>
    <w:lvl w:ilvl="4" w:tentative="0">
      <w:start w:val="1"/>
      <w:numFmt w:val="decimal"/>
      <w:pStyle w:val="7"/>
      <w:isLgl/>
      <w:lvlText w:val="%1.%2.%3.%4.%5"/>
      <w:lvlJc w:val="left"/>
      <w:pPr>
        <w:ind w:left="0" w:firstLine="0"/>
      </w:pPr>
      <w:rPr>
        <w:rFonts w:hint="eastAsia"/>
      </w:rPr>
    </w:lvl>
    <w:lvl w:ilvl="5" w:tentative="0">
      <w:start w:val="1"/>
      <w:numFmt w:val="decimal"/>
      <w:pStyle w:val="8"/>
      <w:isLgl/>
      <w:lvlText w:val="%1.%2.%3.%4.%5.%6"/>
      <w:lvlJc w:val="left"/>
      <w:pPr>
        <w:ind w:left="0" w:firstLine="0"/>
      </w:pPr>
      <w:rPr>
        <w:rFonts w:hint="eastAsia"/>
      </w:rPr>
    </w:lvl>
    <w:lvl w:ilvl="6" w:tentative="0">
      <w:start w:val="1"/>
      <w:numFmt w:val="decimal"/>
      <w:pStyle w:val="9"/>
      <w:isLgl/>
      <w:lvlText w:val="%1.%2.%3.%4.%5.%6.%7"/>
      <w:lvlJc w:val="left"/>
      <w:pPr>
        <w:ind w:left="0" w:firstLine="0"/>
      </w:pPr>
      <w:rPr>
        <w:rFonts w:hint="eastAsia"/>
      </w:rPr>
    </w:lvl>
    <w:lvl w:ilvl="7" w:tentative="0">
      <w:start w:val="1"/>
      <w:numFmt w:val="decimal"/>
      <w:pStyle w:val="10"/>
      <w:isLgl/>
      <w:lvlText w:val="%1.%2.%3.%4.%5.%6.%7.%8"/>
      <w:lvlJc w:val="left"/>
      <w:pPr>
        <w:ind w:left="0" w:firstLine="0"/>
      </w:pPr>
      <w:rPr>
        <w:rFonts w:hint="eastAsia"/>
      </w:rPr>
    </w:lvl>
    <w:lvl w:ilvl="8" w:tentative="0">
      <w:start w:val="1"/>
      <w:numFmt w:val="decimal"/>
      <w:pStyle w:val="11"/>
      <w:isLg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6"/>
  <w:displayVerticalDrawingGridEvery w:val="2"/>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72B"/>
    <w:rsid w:val="0000329B"/>
    <w:rsid w:val="00004BF7"/>
    <w:rsid w:val="000061F4"/>
    <w:rsid w:val="0000650C"/>
    <w:rsid w:val="0000728A"/>
    <w:rsid w:val="0001467F"/>
    <w:rsid w:val="00023150"/>
    <w:rsid w:val="00023A1A"/>
    <w:rsid w:val="00024674"/>
    <w:rsid w:val="000256F7"/>
    <w:rsid w:val="000265D8"/>
    <w:rsid w:val="00031DB7"/>
    <w:rsid w:val="00033062"/>
    <w:rsid w:val="00034CC6"/>
    <w:rsid w:val="000400E3"/>
    <w:rsid w:val="0004077F"/>
    <w:rsid w:val="000467FF"/>
    <w:rsid w:val="0005214B"/>
    <w:rsid w:val="00055D30"/>
    <w:rsid w:val="00062639"/>
    <w:rsid w:val="00063788"/>
    <w:rsid w:val="0007486C"/>
    <w:rsid w:val="0007597B"/>
    <w:rsid w:val="0007746D"/>
    <w:rsid w:val="00082E00"/>
    <w:rsid w:val="00083D93"/>
    <w:rsid w:val="00085ACF"/>
    <w:rsid w:val="000925CD"/>
    <w:rsid w:val="000A00E0"/>
    <w:rsid w:val="000A14C0"/>
    <w:rsid w:val="000A3C90"/>
    <w:rsid w:val="000A551C"/>
    <w:rsid w:val="000A758A"/>
    <w:rsid w:val="000B19BE"/>
    <w:rsid w:val="000B413F"/>
    <w:rsid w:val="000B5C34"/>
    <w:rsid w:val="000B696C"/>
    <w:rsid w:val="000B740C"/>
    <w:rsid w:val="000C09A3"/>
    <w:rsid w:val="000C18E8"/>
    <w:rsid w:val="000C2B8C"/>
    <w:rsid w:val="000C35CE"/>
    <w:rsid w:val="000C39F0"/>
    <w:rsid w:val="000C7EF7"/>
    <w:rsid w:val="000D2DD7"/>
    <w:rsid w:val="000D410C"/>
    <w:rsid w:val="000D474F"/>
    <w:rsid w:val="000D7C01"/>
    <w:rsid w:val="000E2A49"/>
    <w:rsid w:val="000E5200"/>
    <w:rsid w:val="000E6EED"/>
    <w:rsid w:val="000F038A"/>
    <w:rsid w:val="000F146E"/>
    <w:rsid w:val="000F6ED1"/>
    <w:rsid w:val="001018C9"/>
    <w:rsid w:val="001033C9"/>
    <w:rsid w:val="00103F79"/>
    <w:rsid w:val="00104098"/>
    <w:rsid w:val="00106512"/>
    <w:rsid w:val="00106582"/>
    <w:rsid w:val="001140F8"/>
    <w:rsid w:val="001144AD"/>
    <w:rsid w:val="00116B36"/>
    <w:rsid w:val="00120577"/>
    <w:rsid w:val="00120623"/>
    <w:rsid w:val="00126E8D"/>
    <w:rsid w:val="0012745B"/>
    <w:rsid w:val="00127B64"/>
    <w:rsid w:val="00131981"/>
    <w:rsid w:val="00131A44"/>
    <w:rsid w:val="00131ABC"/>
    <w:rsid w:val="001328F9"/>
    <w:rsid w:val="001357D0"/>
    <w:rsid w:val="001369C6"/>
    <w:rsid w:val="00137354"/>
    <w:rsid w:val="00141E34"/>
    <w:rsid w:val="00143489"/>
    <w:rsid w:val="00145E72"/>
    <w:rsid w:val="001469D7"/>
    <w:rsid w:val="00147414"/>
    <w:rsid w:val="00150F12"/>
    <w:rsid w:val="001534F5"/>
    <w:rsid w:val="001545C8"/>
    <w:rsid w:val="00155841"/>
    <w:rsid w:val="00155EF1"/>
    <w:rsid w:val="001629A4"/>
    <w:rsid w:val="0016485A"/>
    <w:rsid w:val="00165B34"/>
    <w:rsid w:val="00165FAF"/>
    <w:rsid w:val="001702B6"/>
    <w:rsid w:val="001718D8"/>
    <w:rsid w:val="00172580"/>
    <w:rsid w:val="00172A27"/>
    <w:rsid w:val="00176546"/>
    <w:rsid w:val="0017782A"/>
    <w:rsid w:val="00181D0D"/>
    <w:rsid w:val="001823AD"/>
    <w:rsid w:val="00185C95"/>
    <w:rsid w:val="0019002E"/>
    <w:rsid w:val="001908C4"/>
    <w:rsid w:val="00191976"/>
    <w:rsid w:val="0019545E"/>
    <w:rsid w:val="00197767"/>
    <w:rsid w:val="001A5C69"/>
    <w:rsid w:val="001A6B8C"/>
    <w:rsid w:val="001A6E75"/>
    <w:rsid w:val="001A7773"/>
    <w:rsid w:val="001A7EE9"/>
    <w:rsid w:val="001B506E"/>
    <w:rsid w:val="001B7C38"/>
    <w:rsid w:val="001C23BB"/>
    <w:rsid w:val="001C4376"/>
    <w:rsid w:val="001C5EAA"/>
    <w:rsid w:val="001C7F2F"/>
    <w:rsid w:val="001D2BA2"/>
    <w:rsid w:val="001D4D38"/>
    <w:rsid w:val="001D5360"/>
    <w:rsid w:val="001D70A7"/>
    <w:rsid w:val="001E012C"/>
    <w:rsid w:val="001E10A1"/>
    <w:rsid w:val="001E431E"/>
    <w:rsid w:val="001E45F4"/>
    <w:rsid w:val="001E5F0A"/>
    <w:rsid w:val="001E76FE"/>
    <w:rsid w:val="001F00D5"/>
    <w:rsid w:val="001F3A0F"/>
    <w:rsid w:val="001F3CB9"/>
    <w:rsid w:val="001F3EF6"/>
    <w:rsid w:val="001F52BD"/>
    <w:rsid w:val="001F5FFC"/>
    <w:rsid w:val="001F6708"/>
    <w:rsid w:val="001F7164"/>
    <w:rsid w:val="00201ACB"/>
    <w:rsid w:val="002024CF"/>
    <w:rsid w:val="0020320A"/>
    <w:rsid w:val="002038D1"/>
    <w:rsid w:val="0020410A"/>
    <w:rsid w:val="002045DB"/>
    <w:rsid w:val="0020600D"/>
    <w:rsid w:val="00206E2A"/>
    <w:rsid w:val="00212DA8"/>
    <w:rsid w:val="0021399F"/>
    <w:rsid w:val="00215AB8"/>
    <w:rsid w:val="0021714E"/>
    <w:rsid w:val="002212B4"/>
    <w:rsid w:val="00221D3C"/>
    <w:rsid w:val="0022520E"/>
    <w:rsid w:val="00225ECB"/>
    <w:rsid w:val="002336C5"/>
    <w:rsid w:val="00233A59"/>
    <w:rsid w:val="002359C0"/>
    <w:rsid w:val="0024037B"/>
    <w:rsid w:val="0024100C"/>
    <w:rsid w:val="00242A53"/>
    <w:rsid w:val="00253EC9"/>
    <w:rsid w:val="00257127"/>
    <w:rsid w:val="00257EA3"/>
    <w:rsid w:val="00261334"/>
    <w:rsid w:val="002652F6"/>
    <w:rsid w:val="00267F7F"/>
    <w:rsid w:val="002726C7"/>
    <w:rsid w:val="002738ED"/>
    <w:rsid w:val="0027429A"/>
    <w:rsid w:val="00280781"/>
    <w:rsid w:val="00282310"/>
    <w:rsid w:val="0028320B"/>
    <w:rsid w:val="0028441E"/>
    <w:rsid w:val="00284D55"/>
    <w:rsid w:val="00284FEB"/>
    <w:rsid w:val="00285492"/>
    <w:rsid w:val="0028582C"/>
    <w:rsid w:val="002928F6"/>
    <w:rsid w:val="002939EA"/>
    <w:rsid w:val="00297A67"/>
    <w:rsid w:val="002A0D16"/>
    <w:rsid w:val="002A1F8F"/>
    <w:rsid w:val="002A560A"/>
    <w:rsid w:val="002A7416"/>
    <w:rsid w:val="002B0767"/>
    <w:rsid w:val="002B32AE"/>
    <w:rsid w:val="002B7AF0"/>
    <w:rsid w:val="002C1FDE"/>
    <w:rsid w:val="002C2823"/>
    <w:rsid w:val="002C29AE"/>
    <w:rsid w:val="002D2623"/>
    <w:rsid w:val="002D3AFD"/>
    <w:rsid w:val="002D6A47"/>
    <w:rsid w:val="002D7CC5"/>
    <w:rsid w:val="002E4D44"/>
    <w:rsid w:val="002E50B8"/>
    <w:rsid w:val="002E5F55"/>
    <w:rsid w:val="002E6585"/>
    <w:rsid w:val="002E7C90"/>
    <w:rsid w:val="002F168D"/>
    <w:rsid w:val="002F4F90"/>
    <w:rsid w:val="002F54C6"/>
    <w:rsid w:val="002F7ED7"/>
    <w:rsid w:val="00304E85"/>
    <w:rsid w:val="00305371"/>
    <w:rsid w:val="003057CF"/>
    <w:rsid w:val="00306130"/>
    <w:rsid w:val="003070C2"/>
    <w:rsid w:val="003164E5"/>
    <w:rsid w:val="003173E9"/>
    <w:rsid w:val="003204CE"/>
    <w:rsid w:val="00323244"/>
    <w:rsid w:val="003260EF"/>
    <w:rsid w:val="0032665B"/>
    <w:rsid w:val="00327D59"/>
    <w:rsid w:val="00327E55"/>
    <w:rsid w:val="003330F4"/>
    <w:rsid w:val="00334333"/>
    <w:rsid w:val="00337825"/>
    <w:rsid w:val="003379CA"/>
    <w:rsid w:val="00337A04"/>
    <w:rsid w:val="00342930"/>
    <w:rsid w:val="00342EC2"/>
    <w:rsid w:val="00345B6E"/>
    <w:rsid w:val="003517C4"/>
    <w:rsid w:val="00356999"/>
    <w:rsid w:val="00374273"/>
    <w:rsid w:val="003746C9"/>
    <w:rsid w:val="00376B7C"/>
    <w:rsid w:val="00377533"/>
    <w:rsid w:val="00377B5A"/>
    <w:rsid w:val="003851EA"/>
    <w:rsid w:val="0038561D"/>
    <w:rsid w:val="00386144"/>
    <w:rsid w:val="00386A3C"/>
    <w:rsid w:val="003905AB"/>
    <w:rsid w:val="00391A7B"/>
    <w:rsid w:val="003950A0"/>
    <w:rsid w:val="003A05FA"/>
    <w:rsid w:val="003A10DB"/>
    <w:rsid w:val="003A1A63"/>
    <w:rsid w:val="003A4D58"/>
    <w:rsid w:val="003B0FF0"/>
    <w:rsid w:val="003B3E16"/>
    <w:rsid w:val="003C157D"/>
    <w:rsid w:val="003C3C6B"/>
    <w:rsid w:val="003C71A7"/>
    <w:rsid w:val="003D2873"/>
    <w:rsid w:val="003E0B36"/>
    <w:rsid w:val="003E0D1C"/>
    <w:rsid w:val="003E345E"/>
    <w:rsid w:val="003E3841"/>
    <w:rsid w:val="003E3BCF"/>
    <w:rsid w:val="003E5EFA"/>
    <w:rsid w:val="003F1C52"/>
    <w:rsid w:val="003F3319"/>
    <w:rsid w:val="003F3F5F"/>
    <w:rsid w:val="003F5BEB"/>
    <w:rsid w:val="003F6BBE"/>
    <w:rsid w:val="0040013D"/>
    <w:rsid w:val="00402FF6"/>
    <w:rsid w:val="0040477A"/>
    <w:rsid w:val="004114B5"/>
    <w:rsid w:val="00411A50"/>
    <w:rsid w:val="0041314D"/>
    <w:rsid w:val="00413DC0"/>
    <w:rsid w:val="00414358"/>
    <w:rsid w:val="004148F9"/>
    <w:rsid w:val="004172C9"/>
    <w:rsid w:val="00417E65"/>
    <w:rsid w:val="00424DEE"/>
    <w:rsid w:val="00426648"/>
    <w:rsid w:val="00433E89"/>
    <w:rsid w:val="0043451E"/>
    <w:rsid w:val="00435886"/>
    <w:rsid w:val="0043733C"/>
    <w:rsid w:val="0043754A"/>
    <w:rsid w:val="00440EFA"/>
    <w:rsid w:val="00442A31"/>
    <w:rsid w:val="00447C73"/>
    <w:rsid w:val="00447FE3"/>
    <w:rsid w:val="004504C6"/>
    <w:rsid w:val="0045150B"/>
    <w:rsid w:val="0045492B"/>
    <w:rsid w:val="00454A47"/>
    <w:rsid w:val="004624B0"/>
    <w:rsid w:val="0046266B"/>
    <w:rsid w:val="00464EC6"/>
    <w:rsid w:val="00465858"/>
    <w:rsid w:val="004674F0"/>
    <w:rsid w:val="004701C3"/>
    <w:rsid w:val="00471FCE"/>
    <w:rsid w:val="00474DE1"/>
    <w:rsid w:val="004826F7"/>
    <w:rsid w:val="00484915"/>
    <w:rsid w:val="00484EB8"/>
    <w:rsid w:val="004909D4"/>
    <w:rsid w:val="004911B0"/>
    <w:rsid w:val="004939BA"/>
    <w:rsid w:val="0049754F"/>
    <w:rsid w:val="00497F32"/>
    <w:rsid w:val="004A1B95"/>
    <w:rsid w:val="004A452E"/>
    <w:rsid w:val="004A4BED"/>
    <w:rsid w:val="004A551D"/>
    <w:rsid w:val="004B1A27"/>
    <w:rsid w:val="004B6C3C"/>
    <w:rsid w:val="004B7776"/>
    <w:rsid w:val="004C0593"/>
    <w:rsid w:val="004C0FD6"/>
    <w:rsid w:val="004C74E4"/>
    <w:rsid w:val="004D1A4E"/>
    <w:rsid w:val="004D3F57"/>
    <w:rsid w:val="004D650B"/>
    <w:rsid w:val="004D7F76"/>
    <w:rsid w:val="004E064E"/>
    <w:rsid w:val="004E157A"/>
    <w:rsid w:val="004F02CF"/>
    <w:rsid w:val="004F129C"/>
    <w:rsid w:val="004F5040"/>
    <w:rsid w:val="004F7D91"/>
    <w:rsid w:val="00500D3B"/>
    <w:rsid w:val="005031D2"/>
    <w:rsid w:val="0050670D"/>
    <w:rsid w:val="00510918"/>
    <w:rsid w:val="00510B65"/>
    <w:rsid w:val="00511DB3"/>
    <w:rsid w:val="00511F86"/>
    <w:rsid w:val="00513949"/>
    <w:rsid w:val="00516978"/>
    <w:rsid w:val="005221CC"/>
    <w:rsid w:val="00527C8C"/>
    <w:rsid w:val="00537980"/>
    <w:rsid w:val="00545885"/>
    <w:rsid w:val="00551B82"/>
    <w:rsid w:val="0055252A"/>
    <w:rsid w:val="0055360C"/>
    <w:rsid w:val="00555466"/>
    <w:rsid w:val="00555F06"/>
    <w:rsid w:val="00563F27"/>
    <w:rsid w:val="005646DF"/>
    <w:rsid w:val="00564A51"/>
    <w:rsid w:val="00564BDD"/>
    <w:rsid w:val="00565301"/>
    <w:rsid w:val="005663D8"/>
    <w:rsid w:val="005707A4"/>
    <w:rsid w:val="00570FBF"/>
    <w:rsid w:val="00571284"/>
    <w:rsid w:val="00571423"/>
    <w:rsid w:val="00572BA7"/>
    <w:rsid w:val="005748E4"/>
    <w:rsid w:val="00575606"/>
    <w:rsid w:val="005777AB"/>
    <w:rsid w:val="00591E6B"/>
    <w:rsid w:val="00592C09"/>
    <w:rsid w:val="00592F86"/>
    <w:rsid w:val="0059760E"/>
    <w:rsid w:val="005A0F39"/>
    <w:rsid w:val="005A5827"/>
    <w:rsid w:val="005A6911"/>
    <w:rsid w:val="005A73A2"/>
    <w:rsid w:val="005B3D86"/>
    <w:rsid w:val="005C0646"/>
    <w:rsid w:val="005C2838"/>
    <w:rsid w:val="005C2B7B"/>
    <w:rsid w:val="005C2CD0"/>
    <w:rsid w:val="005C6FA5"/>
    <w:rsid w:val="005D1491"/>
    <w:rsid w:val="005D3523"/>
    <w:rsid w:val="005D6B07"/>
    <w:rsid w:val="005E076C"/>
    <w:rsid w:val="005E2108"/>
    <w:rsid w:val="005E24B8"/>
    <w:rsid w:val="005E38A2"/>
    <w:rsid w:val="005E5698"/>
    <w:rsid w:val="005E6CC2"/>
    <w:rsid w:val="005F02D4"/>
    <w:rsid w:val="005F1065"/>
    <w:rsid w:val="005F3C44"/>
    <w:rsid w:val="005F3FAC"/>
    <w:rsid w:val="005F7633"/>
    <w:rsid w:val="00600F56"/>
    <w:rsid w:val="00602949"/>
    <w:rsid w:val="00603C30"/>
    <w:rsid w:val="00604184"/>
    <w:rsid w:val="006100C5"/>
    <w:rsid w:val="00617A74"/>
    <w:rsid w:val="00617BD5"/>
    <w:rsid w:val="006254CB"/>
    <w:rsid w:val="00625D7B"/>
    <w:rsid w:val="00630D6C"/>
    <w:rsid w:val="00634C55"/>
    <w:rsid w:val="0063625D"/>
    <w:rsid w:val="0063656B"/>
    <w:rsid w:val="00636EC2"/>
    <w:rsid w:val="0063780B"/>
    <w:rsid w:val="00641F21"/>
    <w:rsid w:val="00643088"/>
    <w:rsid w:val="0064479C"/>
    <w:rsid w:val="00645C28"/>
    <w:rsid w:val="00647975"/>
    <w:rsid w:val="006509FC"/>
    <w:rsid w:val="0065595C"/>
    <w:rsid w:val="00656C10"/>
    <w:rsid w:val="00661183"/>
    <w:rsid w:val="00661684"/>
    <w:rsid w:val="00665065"/>
    <w:rsid w:val="0066514D"/>
    <w:rsid w:val="00673544"/>
    <w:rsid w:val="00673F1D"/>
    <w:rsid w:val="00684323"/>
    <w:rsid w:val="00684F58"/>
    <w:rsid w:val="00685932"/>
    <w:rsid w:val="00692515"/>
    <w:rsid w:val="00694341"/>
    <w:rsid w:val="00694BDE"/>
    <w:rsid w:val="0069539A"/>
    <w:rsid w:val="006A1976"/>
    <w:rsid w:val="006A3862"/>
    <w:rsid w:val="006A6200"/>
    <w:rsid w:val="006B073B"/>
    <w:rsid w:val="006B1127"/>
    <w:rsid w:val="006B57EF"/>
    <w:rsid w:val="006B5B5B"/>
    <w:rsid w:val="006B5BBA"/>
    <w:rsid w:val="006B6A11"/>
    <w:rsid w:val="006C180A"/>
    <w:rsid w:val="006C25F8"/>
    <w:rsid w:val="006C498D"/>
    <w:rsid w:val="006C5B05"/>
    <w:rsid w:val="006C5D4D"/>
    <w:rsid w:val="006C6B4F"/>
    <w:rsid w:val="006D0CB1"/>
    <w:rsid w:val="006D1C22"/>
    <w:rsid w:val="006D248A"/>
    <w:rsid w:val="006D33C8"/>
    <w:rsid w:val="006E2511"/>
    <w:rsid w:val="006E468A"/>
    <w:rsid w:val="006E5C7D"/>
    <w:rsid w:val="006F0C1B"/>
    <w:rsid w:val="006F0D48"/>
    <w:rsid w:val="006F3525"/>
    <w:rsid w:val="00701BC7"/>
    <w:rsid w:val="00701CE1"/>
    <w:rsid w:val="007052DB"/>
    <w:rsid w:val="00707906"/>
    <w:rsid w:val="007106EC"/>
    <w:rsid w:val="00714730"/>
    <w:rsid w:val="00716566"/>
    <w:rsid w:val="00720874"/>
    <w:rsid w:val="007209D7"/>
    <w:rsid w:val="00722A46"/>
    <w:rsid w:val="00722B3F"/>
    <w:rsid w:val="0072502E"/>
    <w:rsid w:val="00725E83"/>
    <w:rsid w:val="00726C3C"/>
    <w:rsid w:val="00732E57"/>
    <w:rsid w:val="00735FB8"/>
    <w:rsid w:val="007363E3"/>
    <w:rsid w:val="007372E8"/>
    <w:rsid w:val="00742C4A"/>
    <w:rsid w:val="007473A0"/>
    <w:rsid w:val="00747790"/>
    <w:rsid w:val="00753829"/>
    <w:rsid w:val="00756916"/>
    <w:rsid w:val="0076122F"/>
    <w:rsid w:val="0076162D"/>
    <w:rsid w:val="007625F3"/>
    <w:rsid w:val="007671BF"/>
    <w:rsid w:val="00773078"/>
    <w:rsid w:val="00773EF7"/>
    <w:rsid w:val="007767F3"/>
    <w:rsid w:val="007771C4"/>
    <w:rsid w:val="00784C04"/>
    <w:rsid w:val="00785062"/>
    <w:rsid w:val="007862B9"/>
    <w:rsid w:val="00786382"/>
    <w:rsid w:val="00790111"/>
    <w:rsid w:val="00790DB0"/>
    <w:rsid w:val="00790E6B"/>
    <w:rsid w:val="00792ABB"/>
    <w:rsid w:val="007A1BFC"/>
    <w:rsid w:val="007A3000"/>
    <w:rsid w:val="007A45BF"/>
    <w:rsid w:val="007A4853"/>
    <w:rsid w:val="007A49BE"/>
    <w:rsid w:val="007A52DD"/>
    <w:rsid w:val="007A7388"/>
    <w:rsid w:val="007A762D"/>
    <w:rsid w:val="007B0CEE"/>
    <w:rsid w:val="007B2880"/>
    <w:rsid w:val="007B335A"/>
    <w:rsid w:val="007B3BA2"/>
    <w:rsid w:val="007B50A1"/>
    <w:rsid w:val="007B6137"/>
    <w:rsid w:val="007C3718"/>
    <w:rsid w:val="007C6782"/>
    <w:rsid w:val="007C68B1"/>
    <w:rsid w:val="007C75D9"/>
    <w:rsid w:val="007D0756"/>
    <w:rsid w:val="007D14C6"/>
    <w:rsid w:val="007D4B11"/>
    <w:rsid w:val="007D5134"/>
    <w:rsid w:val="007D53F1"/>
    <w:rsid w:val="007D76FA"/>
    <w:rsid w:val="007D7B33"/>
    <w:rsid w:val="007E1793"/>
    <w:rsid w:val="007E18CA"/>
    <w:rsid w:val="007E4BFE"/>
    <w:rsid w:val="007E7FED"/>
    <w:rsid w:val="007F1DC4"/>
    <w:rsid w:val="007F37CE"/>
    <w:rsid w:val="007F44AC"/>
    <w:rsid w:val="007F46D8"/>
    <w:rsid w:val="007F6C8A"/>
    <w:rsid w:val="00800F89"/>
    <w:rsid w:val="00803990"/>
    <w:rsid w:val="00805A31"/>
    <w:rsid w:val="00806410"/>
    <w:rsid w:val="008071ED"/>
    <w:rsid w:val="00810128"/>
    <w:rsid w:val="00810222"/>
    <w:rsid w:val="008117A2"/>
    <w:rsid w:val="008124E9"/>
    <w:rsid w:val="00813437"/>
    <w:rsid w:val="00816316"/>
    <w:rsid w:val="00817427"/>
    <w:rsid w:val="008174EA"/>
    <w:rsid w:val="00817ACB"/>
    <w:rsid w:val="0082021D"/>
    <w:rsid w:val="008220DD"/>
    <w:rsid w:val="00823C49"/>
    <w:rsid w:val="00823E2D"/>
    <w:rsid w:val="00826CAB"/>
    <w:rsid w:val="0083596C"/>
    <w:rsid w:val="00836C1C"/>
    <w:rsid w:val="00840BE5"/>
    <w:rsid w:val="00840D76"/>
    <w:rsid w:val="008410DC"/>
    <w:rsid w:val="00845C92"/>
    <w:rsid w:val="008539FD"/>
    <w:rsid w:val="00856E14"/>
    <w:rsid w:val="00857E40"/>
    <w:rsid w:val="0086128A"/>
    <w:rsid w:val="00862243"/>
    <w:rsid w:val="00862C77"/>
    <w:rsid w:val="00866229"/>
    <w:rsid w:val="008714B8"/>
    <w:rsid w:val="0087556D"/>
    <w:rsid w:val="008761BE"/>
    <w:rsid w:val="008767B7"/>
    <w:rsid w:val="00880266"/>
    <w:rsid w:val="00880480"/>
    <w:rsid w:val="008868CE"/>
    <w:rsid w:val="0088748B"/>
    <w:rsid w:val="00887F39"/>
    <w:rsid w:val="00890627"/>
    <w:rsid w:val="00890F3C"/>
    <w:rsid w:val="00893412"/>
    <w:rsid w:val="0089361F"/>
    <w:rsid w:val="008939AB"/>
    <w:rsid w:val="008A1C69"/>
    <w:rsid w:val="008A1F6D"/>
    <w:rsid w:val="008A4194"/>
    <w:rsid w:val="008A5239"/>
    <w:rsid w:val="008A6504"/>
    <w:rsid w:val="008B0109"/>
    <w:rsid w:val="008B4B29"/>
    <w:rsid w:val="008B4B36"/>
    <w:rsid w:val="008B5574"/>
    <w:rsid w:val="008B5E52"/>
    <w:rsid w:val="008B7547"/>
    <w:rsid w:val="008C11DB"/>
    <w:rsid w:val="008C15E7"/>
    <w:rsid w:val="008C5546"/>
    <w:rsid w:val="008C6653"/>
    <w:rsid w:val="008C7FB5"/>
    <w:rsid w:val="008D0B22"/>
    <w:rsid w:val="008D19B2"/>
    <w:rsid w:val="008D567A"/>
    <w:rsid w:val="008D6887"/>
    <w:rsid w:val="008E010A"/>
    <w:rsid w:val="008E5204"/>
    <w:rsid w:val="008E5DE6"/>
    <w:rsid w:val="008E7058"/>
    <w:rsid w:val="008E7E31"/>
    <w:rsid w:val="008F00CB"/>
    <w:rsid w:val="008F05D9"/>
    <w:rsid w:val="008F236C"/>
    <w:rsid w:val="008F44A6"/>
    <w:rsid w:val="008F4BAF"/>
    <w:rsid w:val="008F6172"/>
    <w:rsid w:val="008F68C1"/>
    <w:rsid w:val="008F7991"/>
    <w:rsid w:val="00903B9C"/>
    <w:rsid w:val="009044B5"/>
    <w:rsid w:val="00907747"/>
    <w:rsid w:val="00917D6D"/>
    <w:rsid w:val="0092372C"/>
    <w:rsid w:val="00927A08"/>
    <w:rsid w:val="00933A7A"/>
    <w:rsid w:val="0093679D"/>
    <w:rsid w:val="00937A49"/>
    <w:rsid w:val="00941233"/>
    <w:rsid w:val="009412C3"/>
    <w:rsid w:val="009448FF"/>
    <w:rsid w:val="00944FC4"/>
    <w:rsid w:val="00955E1B"/>
    <w:rsid w:val="00955ED5"/>
    <w:rsid w:val="00960078"/>
    <w:rsid w:val="00961738"/>
    <w:rsid w:val="009634F1"/>
    <w:rsid w:val="00965F8F"/>
    <w:rsid w:val="00966BF6"/>
    <w:rsid w:val="00970748"/>
    <w:rsid w:val="00974B8D"/>
    <w:rsid w:val="009764AB"/>
    <w:rsid w:val="0097714B"/>
    <w:rsid w:val="00977801"/>
    <w:rsid w:val="00980096"/>
    <w:rsid w:val="00980592"/>
    <w:rsid w:val="00980D64"/>
    <w:rsid w:val="0098126D"/>
    <w:rsid w:val="009813A3"/>
    <w:rsid w:val="0098349C"/>
    <w:rsid w:val="009839B7"/>
    <w:rsid w:val="00983F0E"/>
    <w:rsid w:val="00987DC6"/>
    <w:rsid w:val="00990A2F"/>
    <w:rsid w:val="00991E5B"/>
    <w:rsid w:val="009936B4"/>
    <w:rsid w:val="009A1868"/>
    <w:rsid w:val="009A21DB"/>
    <w:rsid w:val="009A6B42"/>
    <w:rsid w:val="009A6FBC"/>
    <w:rsid w:val="009B144E"/>
    <w:rsid w:val="009B312E"/>
    <w:rsid w:val="009B5695"/>
    <w:rsid w:val="009B57FF"/>
    <w:rsid w:val="009B599B"/>
    <w:rsid w:val="009B6D7A"/>
    <w:rsid w:val="009C2EAD"/>
    <w:rsid w:val="009C34C2"/>
    <w:rsid w:val="009C47EA"/>
    <w:rsid w:val="009C58A1"/>
    <w:rsid w:val="009D0119"/>
    <w:rsid w:val="009D4F24"/>
    <w:rsid w:val="009D7D03"/>
    <w:rsid w:val="009E1715"/>
    <w:rsid w:val="009E2CD6"/>
    <w:rsid w:val="009E4844"/>
    <w:rsid w:val="009F0090"/>
    <w:rsid w:val="009F0EF3"/>
    <w:rsid w:val="009F4E6D"/>
    <w:rsid w:val="009F7F25"/>
    <w:rsid w:val="00A00C38"/>
    <w:rsid w:val="00A0395B"/>
    <w:rsid w:val="00A042D0"/>
    <w:rsid w:val="00A04338"/>
    <w:rsid w:val="00A04E5F"/>
    <w:rsid w:val="00A05817"/>
    <w:rsid w:val="00A059AD"/>
    <w:rsid w:val="00A06CAC"/>
    <w:rsid w:val="00A11EC8"/>
    <w:rsid w:val="00A20B54"/>
    <w:rsid w:val="00A22C14"/>
    <w:rsid w:val="00A24BDA"/>
    <w:rsid w:val="00A25C16"/>
    <w:rsid w:val="00A270D3"/>
    <w:rsid w:val="00A31EA4"/>
    <w:rsid w:val="00A359D0"/>
    <w:rsid w:val="00A42C83"/>
    <w:rsid w:val="00A45FE9"/>
    <w:rsid w:val="00A46507"/>
    <w:rsid w:val="00A47976"/>
    <w:rsid w:val="00A51128"/>
    <w:rsid w:val="00A53225"/>
    <w:rsid w:val="00A541D9"/>
    <w:rsid w:val="00A55FA9"/>
    <w:rsid w:val="00A57E9D"/>
    <w:rsid w:val="00A60B64"/>
    <w:rsid w:val="00A627FB"/>
    <w:rsid w:val="00A668C2"/>
    <w:rsid w:val="00A67121"/>
    <w:rsid w:val="00A72369"/>
    <w:rsid w:val="00A725BD"/>
    <w:rsid w:val="00A72EC9"/>
    <w:rsid w:val="00A7743F"/>
    <w:rsid w:val="00A80632"/>
    <w:rsid w:val="00A90A7A"/>
    <w:rsid w:val="00A92F0C"/>
    <w:rsid w:val="00A945BA"/>
    <w:rsid w:val="00A95432"/>
    <w:rsid w:val="00A97D86"/>
    <w:rsid w:val="00AA4830"/>
    <w:rsid w:val="00AA509F"/>
    <w:rsid w:val="00AB076A"/>
    <w:rsid w:val="00AB13E7"/>
    <w:rsid w:val="00AB1608"/>
    <w:rsid w:val="00AB2619"/>
    <w:rsid w:val="00AB62A1"/>
    <w:rsid w:val="00AC46B9"/>
    <w:rsid w:val="00AC55EC"/>
    <w:rsid w:val="00AD10B4"/>
    <w:rsid w:val="00AD2344"/>
    <w:rsid w:val="00AD2AB9"/>
    <w:rsid w:val="00AD400C"/>
    <w:rsid w:val="00AD7F00"/>
    <w:rsid w:val="00AE17EE"/>
    <w:rsid w:val="00AE31A0"/>
    <w:rsid w:val="00AE50A6"/>
    <w:rsid w:val="00AE67D0"/>
    <w:rsid w:val="00AE6B16"/>
    <w:rsid w:val="00AF04F1"/>
    <w:rsid w:val="00AF2537"/>
    <w:rsid w:val="00AF41B3"/>
    <w:rsid w:val="00AF486B"/>
    <w:rsid w:val="00AF5197"/>
    <w:rsid w:val="00AF5312"/>
    <w:rsid w:val="00AF6198"/>
    <w:rsid w:val="00B00C92"/>
    <w:rsid w:val="00B02192"/>
    <w:rsid w:val="00B04436"/>
    <w:rsid w:val="00B0548A"/>
    <w:rsid w:val="00B070BA"/>
    <w:rsid w:val="00B07B27"/>
    <w:rsid w:val="00B07DD1"/>
    <w:rsid w:val="00B118F4"/>
    <w:rsid w:val="00B14B5F"/>
    <w:rsid w:val="00B174D2"/>
    <w:rsid w:val="00B17527"/>
    <w:rsid w:val="00B178EE"/>
    <w:rsid w:val="00B2084D"/>
    <w:rsid w:val="00B27842"/>
    <w:rsid w:val="00B32E91"/>
    <w:rsid w:val="00B34885"/>
    <w:rsid w:val="00B351C1"/>
    <w:rsid w:val="00B363C8"/>
    <w:rsid w:val="00B41D80"/>
    <w:rsid w:val="00B429C2"/>
    <w:rsid w:val="00B44430"/>
    <w:rsid w:val="00B44CBC"/>
    <w:rsid w:val="00B476CB"/>
    <w:rsid w:val="00B51266"/>
    <w:rsid w:val="00B53283"/>
    <w:rsid w:val="00B54CE1"/>
    <w:rsid w:val="00B5789D"/>
    <w:rsid w:val="00B63D13"/>
    <w:rsid w:val="00B65051"/>
    <w:rsid w:val="00B651FE"/>
    <w:rsid w:val="00B71098"/>
    <w:rsid w:val="00B74E5B"/>
    <w:rsid w:val="00B770AE"/>
    <w:rsid w:val="00B80A26"/>
    <w:rsid w:val="00B81664"/>
    <w:rsid w:val="00B84E74"/>
    <w:rsid w:val="00B860FF"/>
    <w:rsid w:val="00B861AA"/>
    <w:rsid w:val="00B9097E"/>
    <w:rsid w:val="00B90F00"/>
    <w:rsid w:val="00B91679"/>
    <w:rsid w:val="00B91D27"/>
    <w:rsid w:val="00B91DEC"/>
    <w:rsid w:val="00B9394A"/>
    <w:rsid w:val="00B93C38"/>
    <w:rsid w:val="00B96540"/>
    <w:rsid w:val="00BA050B"/>
    <w:rsid w:val="00BA1C53"/>
    <w:rsid w:val="00BA224A"/>
    <w:rsid w:val="00BB1904"/>
    <w:rsid w:val="00BB48BB"/>
    <w:rsid w:val="00BC44DF"/>
    <w:rsid w:val="00BC4CE9"/>
    <w:rsid w:val="00BC77A5"/>
    <w:rsid w:val="00BD18E3"/>
    <w:rsid w:val="00BD2727"/>
    <w:rsid w:val="00BD429A"/>
    <w:rsid w:val="00BD4346"/>
    <w:rsid w:val="00BD54BA"/>
    <w:rsid w:val="00BD6461"/>
    <w:rsid w:val="00BD64CB"/>
    <w:rsid w:val="00BE180C"/>
    <w:rsid w:val="00BE35E9"/>
    <w:rsid w:val="00BF195E"/>
    <w:rsid w:val="00BF3EFD"/>
    <w:rsid w:val="00BF43D3"/>
    <w:rsid w:val="00C02420"/>
    <w:rsid w:val="00C036B7"/>
    <w:rsid w:val="00C067F6"/>
    <w:rsid w:val="00C11ED7"/>
    <w:rsid w:val="00C15CA0"/>
    <w:rsid w:val="00C16478"/>
    <w:rsid w:val="00C175A6"/>
    <w:rsid w:val="00C20A6C"/>
    <w:rsid w:val="00C22096"/>
    <w:rsid w:val="00C228F5"/>
    <w:rsid w:val="00C325ED"/>
    <w:rsid w:val="00C33006"/>
    <w:rsid w:val="00C341F0"/>
    <w:rsid w:val="00C424DB"/>
    <w:rsid w:val="00C42A06"/>
    <w:rsid w:val="00C43A11"/>
    <w:rsid w:val="00C43A13"/>
    <w:rsid w:val="00C45EB8"/>
    <w:rsid w:val="00C479A2"/>
    <w:rsid w:val="00C504C1"/>
    <w:rsid w:val="00C50EC4"/>
    <w:rsid w:val="00C5362F"/>
    <w:rsid w:val="00C55ECA"/>
    <w:rsid w:val="00C56E84"/>
    <w:rsid w:val="00C57B3F"/>
    <w:rsid w:val="00C60E4A"/>
    <w:rsid w:val="00C64722"/>
    <w:rsid w:val="00C64F04"/>
    <w:rsid w:val="00C67AB5"/>
    <w:rsid w:val="00C705BC"/>
    <w:rsid w:val="00C75034"/>
    <w:rsid w:val="00C8224A"/>
    <w:rsid w:val="00C862D9"/>
    <w:rsid w:val="00C86574"/>
    <w:rsid w:val="00C94926"/>
    <w:rsid w:val="00CA1AE5"/>
    <w:rsid w:val="00CA6320"/>
    <w:rsid w:val="00CA692D"/>
    <w:rsid w:val="00CB0564"/>
    <w:rsid w:val="00CB1C00"/>
    <w:rsid w:val="00CB6CE2"/>
    <w:rsid w:val="00CC046D"/>
    <w:rsid w:val="00CC5E8B"/>
    <w:rsid w:val="00CC76D6"/>
    <w:rsid w:val="00CD062F"/>
    <w:rsid w:val="00CD324D"/>
    <w:rsid w:val="00CD3FB5"/>
    <w:rsid w:val="00CD4484"/>
    <w:rsid w:val="00CD6819"/>
    <w:rsid w:val="00CE335E"/>
    <w:rsid w:val="00CE4668"/>
    <w:rsid w:val="00CE6A6D"/>
    <w:rsid w:val="00CF2ACC"/>
    <w:rsid w:val="00CF48A6"/>
    <w:rsid w:val="00CF5BB7"/>
    <w:rsid w:val="00CF7CD1"/>
    <w:rsid w:val="00D00915"/>
    <w:rsid w:val="00D02BFE"/>
    <w:rsid w:val="00D0751D"/>
    <w:rsid w:val="00D1520C"/>
    <w:rsid w:val="00D15A53"/>
    <w:rsid w:val="00D17F56"/>
    <w:rsid w:val="00D208BC"/>
    <w:rsid w:val="00D24D3A"/>
    <w:rsid w:val="00D309F8"/>
    <w:rsid w:val="00D329FE"/>
    <w:rsid w:val="00D32A25"/>
    <w:rsid w:val="00D367E9"/>
    <w:rsid w:val="00D40E3C"/>
    <w:rsid w:val="00D4106C"/>
    <w:rsid w:val="00D443F7"/>
    <w:rsid w:val="00D45F6A"/>
    <w:rsid w:val="00D51E3B"/>
    <w:rsid w:val="00D57F04"/>
    <w:rsid w:val="00D61503"/>
    <w:rsid w:val="00D61EF8"/>
    <w:rsid w:val="00D629B2"/>
    <w:rsid w:val="00D63C1A"/>
    <w:rsid w:val="00D77425"/>
    <w:rsid w:val="00D775A0"/>
    <w:rsid w:val="00D775D1"/>
    <w:rsid w:val="00D77B0F"/>
    <w:rsid w:val="00D825A1"/>
    <w:rsid w:val="00D83F8F"/>
    <w:rsid w:val="00D841FD"/>
    <w:rsid w:val="00D84AA7"/>
    <w:rsid w:val="00D858C8"/>
    <w:rsid w:val="00D85B36"/>
    <w:rsid w:val="00D90772"/>
    <w:rsid w:val="00D94A99"/>
    <w:rsid w:val="00DA28F2"/>
    <w:rsid w:val="00DA3E10"/>
    <w:rsid w:val="00DA3E92"/>
    <w:rsid w:val="00DA6226"/>
    <w:rsid w:val="00DA64DF"/>
    <w:rsid w:val="00DA7C37"/>
    <w:rsid w:val="00DB1D42"/>
    <w:rsid w:val="00DB3C7C"/>
    <w:rsid w:val="00DB5989"/>
    <w:rsid w:val="00DB7D0A"/>
    <w:rsid w:val="00DC02DF"/>
    <w:rsid w:val="00DC0367"/>
    <w:rsid w:val="00DC08C1"/>
    <w:rsid w:val="00DC2FA1"/>
    <w:rsid w:val="00DC5FC9"/>
    <w:rsid w:val="00DD1D7C"/>
    <w:rsid w:val="00DD284D"/>
    <w:rsid w:val="00DD372D"/>
    <w:rsid w:val="00DD468E"/>
    <w:rsid w:val="00DD55AD"/>
    <w:rsid w:val="00DD7A3F"/>
    <w:rsid w:val="00DE2D2B"/>
    <w:rsid w:val="00DF0A9E"/>
    <w:rsid w:val="00DF1F72"/>
    <w:rsid w:val="00DF451E"/>
    <w:rsid w:val="00DF4895"/>
    <w:rsid w:val="00DF49CD"/>
    <w:rsid w:val="00DF5CC0"/>
    <w:rsid w:val="00DF6365"/>
    <w:rsid w:val="00E038AC"/>
    <w:rsid w:val="00E03FAA"/>
    <w:rsid w:val="00E103AB"/>
    <w:rsid w:val="00E108C3"/>
    <w:rsid w:val="00E11E6A"/>
    <w:rsid w:val="00E1619F"/>
    <w:rsid w:val="00E167F4"/>
    <w:rsid w:val="00E16E2F"/>
    <w:rsid w:val="00E20F24"/>
    <w:rsid w:val="00E241C5"/>
    <w:rsid w:val="00E255F7"/>
    <w:rsid w:val="00E31167"/>
    <w:rsid w:val="00E31448"/>
    <w:rsid w:val="00E33537"/>
    <w:rsid w:val="00E373F1"/>
    <w:rsid w:val="00E3752D"/>
    <w:rsid w:val="00E41F30"/>
    <w:rsid w:val="00E43727"/>
    <w:rsid w:val="00E444BC"/>
    <w:rsid w:val="00E44521"/>
    <w:rsid w:val="00E512AB"/>
    <w:rsid w:val="00E52D21"/>
    <w:rsid w:val="00E55644"/>
    <w:rsid w:val="00E55B02"/>
    <w:rsid w:val="00E56C8B"/>
    <w:rsid w:val="00E5729B"/>
    <w:rsid w:val="00E57742"/>
    <w:rsid w:val="00E63D99"/>
    <w:rsid w:val="00E64A89"/>
    <w:rsid w:val="00E677D1"/>
    <w:rsid w:val="00E70E07"/>
    <w:rsid w:val="00E72219"/>
    <w:rsid w:val="00E746E6"/>
    <w:rsid w:val="00E76ABD"/>
    <w:rsid w:val="00E7742A"/>
    <w:rsid w:val="00E77BF4"/>
    <w:rsid w:val="00E77F78"/>
    <w:rsid w:val="00E80C3F"/>
    <w:rsid w:val="00E81FB7"/>
    <w:rsid w:val="00E831B2"/>
    <w:rsid w:val="00E9104B"/>
    <w:rsid w:val="00E9289A"/>
    <w:rsid w:val="00E94A1D"/>
    <w:rsid w:val="00E9577D"/>
    <w:rsid w:val="00E9724C"/>
    <w:rsid w:val="00E97CA9"/>
    <w:rsid w:val="00EA30A5"/>
    <w:rsid w:val="00EA3495"/>
    <w:rsid w:val="00EA3BE0"/>
    <w:rsid w:val="00EA6D3A"/>
    <w:rsid w:val="00EB42A3"/>
    <w:rsid w:val="00EB4860"/>
    <w:rsid w:val="00EC0333"/>
    <w:rsid w:val="00EC450C"/>
    <w:rsid w:val="00ED43AA"/>
    <w:rsid w:val="00EE4151"/>
    <w:rsid w:val="00EE66BD"/>
    <w:rsid w:val="00EE75BC"/>
    <w:rsid w:val="00EF2126"/>
    <w:rsid w:val="00EF4AFD"/>
    <w:rsid w:val="00F022F1"/>
    <w:rsid w:val="00F024EE"/>
    <w:rsid w:val="00F04E9D"/>
    <w:rsid w:val="00F0654C"/>
    <w:rsid w:val="00F10611"/>
    <w:rsid w:val="00F11586"/>
    <w:rsid w:val="00F13249"/>
    <w:rsid w:val="00F15A87"/>
    <w:rsid w:val="00F17CFE"/>
    <w:rsid w:val="00F204A8"/>
    <w:rsid w:val="00F23631"/>
    <w:rsid w:val="00F26F28"/>
    <w:rsid w:val="00F27516"/>
    <w:rsid w:val="00F31FC8"/>
    <w:rsid w:val="00F35101"/>
    <w:rsid w:val="00F35808"/>
    <w:rsid w:val="00F35F22"/>
    <w:rsid w:val="00F41DB6"/>
    <w:rsid w:val="00F4261A"/>
    <w:rsid w:val="00F51EB2"/>
    <w:rsid w:val="00F523D7"/>
    <w:rsid w:val="00F55084"/>
    <w:rsid w:val="00F5778C"/>
    <w:rsid w:val="00F57B3F"/>
    <w:rsid w:val="00F65BA8"/>
    <w:rsid w:val="00F678CC"/>
    <w:rsid w:val="00F70AEE"/>
    <w:rsid w:val="00F73EC6"/>
    <w:rsid w:val="00F74FE7"/>
    <w:rsid w:val="00F913EA"/>
    <w:rsid w:val="00F91DED"/>
    <w:rsid w:val="00F92117"/>
    <w:rsid w:val="00F923C1"/>
    <w:rsid w:val="00F92C9A"/>
    <w:rsid w:val="00F934A9"/>
    <w:rsid w:val="00F94009"/>
    <w:rsid w:val="00F948BE"/>
    <w:rsid w:val="00F961A3"/>
    <w:rsid w:val="00F96454"/>
    <w:rsid w:val="00F97043"/>
    <w:rsid w:val="00FA409A"/>
    <w:rsid w:val="00FB296B"/>
    <w:rsid w:val="00FB2BA3"/>
    <w:rsid w:val="00FB436C"/>
    <w:rsid w:val="00FB4BB7"/>
    <w:rsid w:val="00FB58D5"/>
    <w:rsid w:val="00FB653A"/>
    <w:rsid w:val="00FC1997"/>
    <w:rsid w:val="00FC3AB1"/>
    <w:rsid w:val="00FC46D0"/>
    <w:rsid w:val="00FC6F05"/>
    <w:rsid w:val="00FD54AB"/>
    <w:rsid w:val="00FE0E73"/>
    <w:rsid w:val="00FE1D4D"/>
    <w:rsid w:val="00FE3F3E"/>
    <w:rsid w:val="00FF185D"/>
    <w:rsid w:val="00FF5C16"/>
    <w:rsid w:val="018D749A"/>
    <w:rsid w:val="02270541"/>
    <w:rsid w:val="0402350B"/>
    <w:rsid w:val="04285269"/>
    <w:rsid w:val="04E074B6"/>
    <w:rsid w:val="04FA2F0F"/>
    <w:rsid w:val="06442250"/>
    <w:rsid w:val="0650461B"/>
    <w:rsid w:val="07EE6F03"/>
    <w:rsid w:val="08940552"/>
    <w:rsid w:val="0C193530"/>
    <w:rsid w:val="0DAE70D8"/>
    <w:rsid w:val="0E622DC0"/>
    <w:rsid w:val="0FF72867"/>
    <w:rsid w:val="11A06207"/>
    <w:rsid w:val="11AC1C54"/>
    <w:rsid w:val="12477F66"/>
    <w:rsid w:val="14833D8A"/>
    <w:rsid w:val="14C40F33"/>
    <w:rsid w:val="15A54557"/>
    <w:rsid w:val="15D35A98"/>
    <w:rsid w:val="161A043F"/>
    <w:rsid w:val="17D006D9"/>
    <w:rsid w:val="18572718"/>
    <w:rsid w:val="186243A1"/>
    <w:rsid w:val="1A19481B"/>
    <w:rsid w:val="1A8B5FDF"/>
    <w:rsid w:val="1BB41715"/>
    <w:rsid w:val="1D073ADE"/>
    <w:rsid w:val="1F8123CF"/>
    <w:rsid w:val="206F2E57"/>
    <w:rsid w:val="20781432"/>
    <w:rsid w:val="211F0C75"/>
    <w:rsid w:val="21E85285"/>
    <w:rsid w:val="23BD62E1"/>
    <w:rsid w:val="23DD5752"/>
    <w:rsid w:val="23F05D96"/>
    <w:rsid w:val="258F47F9"/>
    <w:rsid w:val="25B238AC"/>
    <w:rsid w:val="25BD48AC"/>
    <w:rsid w:val="262C04FF"/>
    <w:rsid w:val="268A7650"/>
    <w:rsid w:val="29733F04"/>
    <w:rsid w:val="29CE06A2"/>
    <w:rsid w:val="29CF7AE1"/>
    <w:rsid w:val="2AF032C8"/>
    <w:rsid w:val="2B831874"/>
    <w:rsid w:val="2C031A63"/>
    <w:rsid w:val="2E4247D5"/>
    <w:rsid w:val="2F9E109F"/>
    <w:rsid w:val="2FE27C75"/>
    <w:rsid w:val="2FE97CF7"/>
    <w:rsid w:val="300A4CE1"/>
    <w:rsid w:val="306F31F1"/>
    <w:rsid w:val="30D04FC4"/>
    <w:rsid w:val="32150897"/>
    <w:rsid w:val="32605FDD"/>
    <w:rsid w:val="32CB5CEF"/>
    <w:rsid w:val="339234E5"/>
    <w:rsid w:val="33C31AA6"/>
    <w:rsid w:val="36C44C95"/>
    <w:rsid w:val="37AD7B39"/>
    <w:rsid w:val="388B1A55"/>
    <w:rsid w:val="3B3369B6"/>
    <w:rsid w:val="3B883E91"/>
    <w:rsid w:val="3C7D4DEA"/>
    <w:rsid w:val="3FF522DF"/>
    <w:rsid w:val="408202BD"/>
    <w:rsid w:val="408C0EA1"/>
    <w:rsid w:val="40EB5E08"/>
    <w:rsid w:val="41F209FD"/>
    <w:rsid w:val="43152D4C"/>
    <w:rsid w:val="439C05EE"/>
    <w:rsid w:val="43FD3E7A"/>
    <w:rsid w:val="46103027"/>
    <w:rsid w:val="47587104"/>
    <w:rsid w:val="47884A93"/>
    <w:rsid w:val="47906CE1"/>
    <w:rsid w:val="485F6274"/>
    <w:rsid w:val="48F71FD6"/>
    <w:rsid w:val="49567448"/>
    <w:rsid w:val="49921C45"/>
    <w:rsid w:val="4AAD2D62"/>
    <w:rsid w:val="4BDC652B"/>
    <w:rsid w:val="4D5D3449"/>
    <w:rsid w:val="4DFC1549"/>
    <w:rsid w:val="4E494F28"/>
    <w:rsid w:val="4E6D29C4"/>
    <w:rsid w:val="50D84574"/>
    <w:rsid w:val="51BF1763"/>
    <w:rsid w:val="52557809"/>
    <w:rsid w:val="52596DF2"/>
    <w:rsid w:val="52F60561"/>
    <w:rsid w:val="533741A7"/>
    <w:rsid w:val="536F7DA1"/>
    <w:rsid w:val="53C90AA8"/>
    <w:rsid w:val="53CC1F5B"/>
    <w:rsid w:val="549C655E"/>
    <w:rsid w:val="55CE2EDB"/>
    <w:rsid w:val="56463565"/>
    <w:rsid w:val="56FB7F7F"/>
    <w:rsid w:val="572D2603"/>
    <w:rsid w:val="581A1E12"/>
    <w:rsid w:val="58652896"/>
    <w:rsid w:val="58A2728D"/>
    <w:rsid w:val="59CF3150"/>
    <w:rsid w:val="5A207BDB"/>
    <w:rsid w:val="5CB353D9"/>
    <w:rsid w:val="5D477C51"/>
    <w:rsid w:val="60A93DAD"/>
    <w:rsid w:val="6187339E"/>
    <w:rsid w:val="62915D71"/>
    <w:rsid w:val="63060B32"/>
    <w:rsid w:val="638B5C6B"/>
    <w:rsid w:val="66F30466"/>
    <w:rsid w:val="68C811F9"/>
    <w:rsid w:val="69281FAC"/>
    <w:rsid w:val="6A391380"/>
    <w:rsid w:val="6AE81FA5"/>
    <w:rsid w:val="6AE93CDC"/>
    <w:rsid w:val="6DF24829"/>
    <w:rsid w:val="7023136D"/>
    <w:rsid w:val="70CC667F"/>
    <w:rsid w:val="73537F29"/>
    <w:rsid w:val="7360710C"/>
    <w:rsid w:val="74014BF8"/>
    <w:rsid w:val="7429351F"/>
    <w:rsid w:val="76F06264"/>
    <w:rsid w:val="778039A7"/>
    <w:rsid w:val="784259B9"/>
    <w:rsid w:val="7A021CA6"/>
    <w:rsid w:val="7A8677AC"/>
    <w:rsid w:val="7AD7051F"/>
    <w:rsid w:val="7C6D5D2F"/>
    <w:rsid w:val="7CE83C37"/>
    <w:rsid w:val="7F13384C"/>
    <w:rsid w:val="7F190916"/>
    <w:rsid w:val="7F99215D"/>
    <w:rsid w:val="EBED5812"/>
    <w:rsid w:val="FDFD0E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4"/>
      <w:szCs w:val="21"/>
      <w:lang w:val="en-US" w:eastAsia="zh-CN" w:bidi="ar-SA"/>
    </w:rPr>
  </w:style>
  <w:style w:type="paragraph" w:styleId="2">
    <w:name w:val="heading 1"/>
    <w:basedOn w:val="3"/>
    <w:next w:val="1"/>
    <w:link w:val="44"/>
    <w:qFormat/>
    <w:uiPriority w:val="0"/>
    <w:pPr>
      <w:keepNext/>
      <w:keepLines/>
      <w:numPr>
        <w:ilvl w:val="0"/>
        <w:numId w:val="1"/>
      </w:numPr>
      <w:spacing w:before="0" w:after="0"/>
      <w:jc w:val="left"/>
    </w:pPr>
    <w:rPr>
      <w:rFonts w:ascii="Times New Roman" w:hAnsi="Times New Roman" w:eastAsia="黑体"/>
      <w:b w:val="0"/>
      <w:bCs w:val="0"/>
      <w:kern w:val="44"/>
      <w:sz w:val="44"/>
      <w:szCs w:val="44"/>
    </w:rPr>
  </w:style>
  <w:style w:type="paragraph" w:styleId="4">
    <w:name w:val="heading 2"/>
    <w:basedOn w:val="2"/>
    <w:next w:val="1"/>
    <w:link w:val="42"/>
    <w:qFormat/>
    <w:uiPriority w:val="0"/>
    <w:pPr>
      <w:numPr>
        <w:ilvl w:val="1"/>
      </w:numPr>
      <w:outlineLvl w:val="1"/>
    </w:pPr>
    <w:rPr>
      <w:b/>
      <w:bCs/>
      <w:sz w:val="36"/>
      <w:szCs w:val="32"/>
    </w:rPr>
  </w:style>
  <w:style w:type="paragraph" w:styleId="5">
    <w:name w:val="heading 3"/>
    <w:basedOn w:val="2"/>
    <w:next w:val="1"/>
    <w:link w:val="50"/>
    <w:qFormat/>
    <w:uiPriority w:val="0"/>
    <w:pPr>
      <w:numPr>
        <w:ilvl w:val="2"/>
      </w:numPr>
      <w:outlineLvl w:val="2"/>
    </w:pPr>
    <w:rPr>
      <w:b/>
      <w:bCs/>
      <w:sz w:val="32"/>
      <w:szCs w:val="32"/>
    </w:rPr>
  </w:style>
  <w:style w:type="paragraph" w:styleId="6">
    <w:name w:val="heading 4"/>
    <w:basedOn w:val="2"/>
    <w:next w:val="1"/>
    <w:link w:val="52"/>
    <w:qFormat/>
    <w:uiPriority w:val="0"/>
    <w:pPr>
      <w:numPr>
        <w:ilvl w:val="3"/>
      </w:numPr>
      <w:outlineLvl w:val="3"/>
    </w:pPr>
    <w:rPr>
      <w:b/>
      <w:bCs/>
      <w:sz w:val="30"/>
      <w:szCs w:val="28"/>
    </w:rPr>
  </w:style>
  <w:style w:type="paragraph" w:styleId="7">
    <w:name w:val="heading 5"/>
    <w:basedOn w:val="2"/>
    <w:next w:val="1"/>
    <w:link w:val="48"/>
    <w:qFormat/>
    <w:uiPriority w:val="0"/>
    <w:pPr>
      <w:numPr>
        <w:ilvl w:val="4"/>
      </w:numPr>
      <w:outlineLvl w:val="4"/>
    </w:pPr>
    <w:rPr>
      <w:b/>
      <w:bCs/>
      <w:sz w:val="28"/>
      <w:szCs w:val="28"/>
    </w:rPr>
  </w:style>
  <w:style w:type="paragraph" w:styleId="8">
    <w:name w:val="heading 6"/>
    <w:basedOn w:val="2"/>
    <w:next w:val="1"/>
    <w:link w:val="40"/>
    <w:qFormat/>
    <w:uiPriority w:val="0"/>
    <w:pPr>
      <w:numPr>
        <w:ilvl w:val="5"/>
      </w:numPr>
      <w:outlineLvl w:val="5"/>
    </w:pPr>
    <w:rPr>
      <w:b/>
      <w:bCs/>
      <w:sz w:val="24"/>
      <w:szCs w:val="24"/>
    </w:rPr>
  </w:style>
  <w:style w:type="paragraph" w:styleId="9">
    <w:name w:val="heading 7"/>
    <w:basedOn w:val="2"/>
    <w:next w:val="1"/>
    <w:link w:val="41"/>
    <w:qFormat/>
    <w:uiPriority w:val="0"/>
    <w:pPr>
      <w:numPr>
        <w:ilvl w:val="6"/>
      </w:numPr>
      <w:outlineLvl w:val="6"/>
    </w:pPr>
    <w:rPr>
      <w:b/>
      <w:bCs/>
      <w:sz w:val="24"/>
      <w:szCs w:val="24"/>
    </w:rPr>
  </w:style>
  <w:style w:type="paragraph" w:styleId="10">
    <w:name w:val="heading 8"/>
    <w:basedOn w:val="2"/>
    <w:next w:val="1"/>
    <w:link w:val="35"/>
    <w:qFormat/>
    <w:uiPriority w:val="0"/>
    <w:pPr>
      <w:numPr>
        <w:ilvl w:val="7"/>
      </w:numPr>
      <w:outlineLvl w:val="7"/>
    </w:pPr>
    <w:rPr>
      <w:b/>
      <w:sz w:val="24"/>
      <w:szCs w:val="24"/>
    </w:rPr>
  </w:style>
  <w:style w:type="paragraph" w:styleId="11">
    <w:name w:val="heading 9"/>
    <w:basedOn w:val="2"/>
    <w:next w:val="1"/>
    <w:link w:val="38"/>
    <w:qFormat/>
    <w:uiPriority w:val="0"/>
    <w:pPr>
      <w:numPr>
        <w:ilvl w:val="8"/>
      </w:numPr>
      <w:outlineLvl w:val="8"/>
    </w:pPr>
    <w:rPr>
      <w:b/>
      <w:sz w:val="24"/>
    </w:rPr>
  </w:style>
  <w:style w:type="character" w:default="1" w:styleId="31">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65"/>
    <w:qFormat/>
    <w:uiPriority w:val="0"/>
    <w:pPr>
      <w:spacing w:before="240" w:after="60"/>
      <w:jc w:val="center"/>
      <w:outlineLvl w:val="0"/>
    </w:pPr>
    <w:rPr>
      <w:rFonts w:asciiTheme="majorHAnsi" w:hAnsiTheme="majorHAnsi" w:cstheme="majorBidi"/>
      <w:b/>
      <w:bCs/>
      <w:sz w:val="32"/>
      <w:szCs w:val="32"/>
    </w:rPr>
  </w:style>
  <w:style w:type="paragraph" w:styleId="12">
    <w:name w:val="table of authorities"/>
    <w:basedOn w:val="1"/>
    <w:next w:val="1"/>
    <w:qFormat/>
    <w:uiPriority w:val="0"/>
    <w:pPr>
      <w:ind w:left="420" w:leftChars="200"/>
    </w:pPr>
  </w:style>
  <w:style w:type="paragraph" w:styleId="13">
    <w:name w:val="List Number"/>
    <w:basedOn w:val="1"/>
    <w:qFormat/>
    <w:uiPriority w:val="0"/>
    <w:pPr>
      <w:widowControl/>
      <w:numPr>
        <w:ilvl w:val="0"/>
        <w:numId w:val="2"/>
      </w:numPr>
      <w:tabs>
        <w:tab w:val="left" w:pos="454"/>
        <w:tab w:val="left" w:pos="720"/>
      </w:tabs>
      <w:spacing w:afterLines="50"/>
      <w:ind w:left="454" w:hanging="284"/>
      <w:jc w:val="left"/>
    </w:pPr>
    <w:rPr>
      <w:kern w:val="0"/>
      <w:szCs w:val="20"/>
    </w:rPr>
  </w:style>
  <w:style w:type="paragraph" w:styleId="14">
    <w:name w:val="Document Map"/>
    <w:basedOn w:val="1"/>
    <w:link w:val="53"/>
    <w:qFormat/>
    <w:uiPriority w:val="0"/>
    <w:rPr>
      <w:rFonts w:ascii="Tahoma" w:hAnsi="Tahoma"/>
      <w:sz w:val="16"/>
      <w:szCs w:val="16"/>
    </w:rPr>
  </w:style>
  <w:style w:type="paragraph" w:styleId="15">
    <w:name w:val="annotation text"/>
    <w:basedOn w:val="1"/>
    <w:link w:val="39"/>
    <w:qFormat/>
    <w:uiPriority w:val="0"/>
    <w:pPr>
      <w:jc w:val="left"/>
    </w:pPr>
    <w:rPr>
      <w:szCs w:val="20"/>
    </w:rPr>
  </w:style>
  <w:style w:type="paragraph" w:styleId="16">
    <w:name w:val="Body Text"/>
    <w:basedOn w:val="1"/>
    <w:qFormat/>
    <w:uiPriority w:val="0"/>
    <w:pPr>
      <w:adjustRightInd w:val="0"/>
      <w:spacing w:line="240" w:lineRule="auto"/>
      <w:jc w:val="left"/>
      <w:textAlignment w:val="baseline"/>
    </w:pPr>
    <w:rPr>
      <w:rFonts w:ascii="仿宋_GB2312" w:hAnsi="仿宋_GB2312"/>
      <w:kern w:val="0"/>
      <w:szCs w:val="20"/>
    </w:rPr>
  </w:style>
  <w:style w:type="paragraph" w:styleId="17">
    <w:name w:val="Body Text Indent"/>
    <w:basedOn w:val="1"/>
    <w:link w:val="45"/>
    <w:qFormat/>
    <w:uiPriority w:val="0"/>
    <w:pPr>
      <w:spacing w:after="120"/>
      <w:ind w:left="420" w:leftChars="200"/>
    </w:pPr>
  </w:style>
  <w:style w:type="paragraph" w:styleId="18">
    <w:name w:val="List 2"/>
    <w:basedOn w:val="1"/>
    <w:qFormat/>
    <w:uiPriority w:val="0"/>
    <w:pPr>
      <w:ind w:left="100" w:leftChars="200" w:hanging="200" w:hangingChars="200"/>
    </w:pPr>
  </w:style>
  <w:style w:type="paragraph" w:styleId="19">
    <w:name w:val="index 4"/>
    <w:basedOn w:val="1"/>
    <w:next w:val="1"/>
    <w:semiHidden/>
    <w:qFormat/>
    <w:uiPriority w:val="0"/>
    <w:pPr>
      <w:ind w:left="1260"/>
    </w:pPr>
  </w:style>
  <w:style w:type="paragraph" w:styleId="20">
    <w:name w:val="Plain Text"/>
    <w:basedOn w:val="1"/>
    <w:link w:val="49"/>
    <w:qFormat/>
    <w:uiPriority w:val="0"/>
    <w:pPr>
      <w:spacing w:beforeLines="50" w:afterLines="50" w:line="400" w:lineRule="exact"/>
    </w:pPr>
    <w:rPr>
      <w:rFonts w:ascii="宋体" w:hAnsi="Courier New"/>
    </w:rPr>
  </w:style>
  <w:style w:type="paragraph" w:styleId="21">
    <w:name w:val="Body Text Indent 2"/>
    <w:basedOn w:val="1"/>
    <w:link w:val="54"/>
    <w:qFormat/>
    <w:uiPriority w:val="0"/>
    <w:pPr>
      <w:spacing w:after="120" w:line="480" w:lineRule="auto"/>
      <w:ind w:left="420" w:leftChars="200"/>
    </w:pPr>
  </w:style>
  <w:style w:type="paragraph" w:styleId="22">
    <w:name w:val="Balloon Text"/>
    <w:basedOn w:val="1"/>
    <w:link w:val="43"/>
    <w:qFormat/>
    <w:uiPriority w:val="0"/>
    <w:rPr>
      <w:sz w:val="18"/>
      <w:szCs w:val="18"/>
    </w:rPr>
  </w:style>
  <w:style w:type="paragraph" w:styleId="23">
    <w:name w:val="footer"/>
    <w:basedOn w:val="1"/>
    <w:link w:val="66"/>
    <w:unhideWhenUsed/>
    <w:qFormat/>
    <w:uiPriority w:val="99"/>
    <w:pPr>
      <w:tabs>
        <w:tab w:val="center" w:pos="4153"/>
        <w:tab w:val="right" w:pos="8306"/>
      </w:tabs>
      <w:snapToGrid w:val="0"/>
      <w:spacing w:line="240" w:lineRule="auto"/>
      <w:jc w:val="left"/>
    </w:pPr>
    <w:rPr>
      <w:sz w:val="18"/>
      <w:szCs w:val="18"/>
    </w:rPr>
  </w:style>
  <w:style w:type="paragraph" w:styleId="24">
    <w:name w:val="header"/>
    <w:basedOn w:val="1"/>
    <w:link w:val="6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5">
    <w:name w:val="Body Text Indent 3"/>
    <w:basedOn w:val="1"/>
    <w:qFormat/>
    <w:uiPriority w:val="0"/>
    <w:pPr>
      <w:spacing w:after="120"/>
      <w:ind w:left="420" w:leftChars="200"/>
    </w:pPr>
    <w:rPr>
      <w:sz w:val="16"/>
      <w:szCs w:val="16"/>
    </w:rPr>
  </w:style>
  <w:style w:type="paragraph" w:styleId="26">
    <w:name w:val="Normal (Web)"/>
    <w:basedOn w:val="1"/>
    <w:qFormat/>
    <w:uiPriority w:val="0"/>
    <w:pPr>
      <w:widowControl/>
      <w:spacing w:before="100" w:beforeAutospacing="1" w:after="100" w:afterAutospacing="1"/>
      <w:jc w:val="left"/>
    </w:pPr>
    <w:rPr>
      <w:rFonts w:ascii="宋体" w:hAnsi="宋体"/>
      <w:kern w:val="0"/>
    </w:rPr>
  </w:style>
  <w:style w:type="paragraph" w:styleId="27">
    <w:name w:val="Body Text First Indent 2"/>
    <w:basedOn w:val="17"/>
    <w:qFormat/>
    <w:uiPriority w:val="99"/>
    <w:pPr>
      <w:ind w:firstLine="420"/>
    </w:pPr>
  </w:style>
  <w:style w:type="table" w:styleId="29">
    <w:name w:val="Table Grid"/>
    <w:basedOn w:val="2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0">
    <w:name w:val="Table Elegant"/>
    <w:basedOn w:val="2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2">
    <w:name w:val="Strong"/>
    <w:qFormat/>
    <w:uiPriority w:val="22"/>
    <w:rPr>
      <w:b/>
      <w:bCs/>
    </w:rPr>
  </w:style>
  <w:style w:type="character" w:customStyle="1" w:styleId="33">
    <w:name w:val="font11"/>
    <w:qFormat/>
    <w:uiPriority w:val="0"/>
    <w:rPr>
      <w:rFonts w:hint="eastAsia" w:ascii="宋体" w:hAnsi="宋体" w:eastAsia="宋体"/>
      <w:color w:val="000000"/>
      <w:sz w:val="21"/>
      <w:szCs w:val="21"/>
      <w:u w:val="none"/>
    </w:rPr>
  </w:style>
  <w:style w:type="character" w:customStyle="1" w:styleId="34">
    <w:name w:val="pd_mob1"/>
    <w:qFormat/>
    <w:uiPriority w:val="0"/>
    <w:rPr>
      <w:b/>
      <w:bCs/>
      <w:color w:val="DB4F33"/>
      <w:sz w:val="30"/>
      <w:szCs w:val="30"/>
    </w:rPr>
  </w:style>
  <w:style w:type="character" w:customStyle="1" w:styleId="35">
    <w:name w:val="标题 8 Char"/>
    <w:basedOn w:val="31"/>
    <w:link w:val="10"/>
    <w:qFormat/>
    <w:uiPriority w:val="0"/>
    <w:rPr>
      <w:rFonts w:ascii="Times New Roman" w:hAnsi="Times New Roman" w:eastAsia="黑体" w:cstheme="majorBidi"/>
      <w:b/>
      <w:kern w:val="44"/>
      <w:sz w:val="24"/>
      <w:szCs w:val="24"/>
    </w:rPr>
  </w:style>
  <w:style w:type="character" w:customStyle="1" w:styleId="36">
    <w:name w:val="列出段落 Char"/>
    <w:link w:val="37"/>
    <w:qFormat/>
    <w:locked/>
    <w:uiPriority w:val="34"/>
    <w:rPr>
      <w:sz w:val="24"/>
    </w:rPr>
  </w:style>
  <w:style w:type="paragraph" w:styleId="37">
    <w:name w:val="List Paragraph"/>
    <w:basedOn w:val="1"/>
    <w:link w:val="36"/>
    <w:qFormat/>
    <w:uiPriority w:val="99"/>
    <w:pPr>
      <w:ind w:firstLine="420"/>
    </w:pPr>
  </w:style>
  <w:style w:type="character" w:customStyle="1" w:styleId="38">
    <w:name w:val="标题 9 Char"/>
    <w:basedOn w:val="31"/>
    <w:link w:val="11"/>
    <w:qFormat/>
    <w:uiPriority w:val="0"/>
    <w:rPr>
      <w:rFonts w:ascii="Times New Roman" w:hAnsi="Times New Roman" w:eastAsia="黑体" w:cstheme="majorBidi"/>
      <w:b/>
      <w:kern w:val="44"/>
      <w:sz w:val="24"/>
      <w:szCs w:val="44"/>
    </w:rPr>
  </w:style>
  <w:style w:type="character" w:customStyle="1" w:styleId="39">
    <w:name w:val="批注文字 Char"/>
    <w:link w:val="15"/>
    <w:qFormat/>
    <w:uiPriority w:val="0"/>
    <w:rPr>
      <w:rFonts w:eastAsia="宋体"/>
      <w:kern w:val="2"/>
      <w:sz w:val="21"/>
      <w:lang w:val="en-US" w:eastAsia="zh-CN" w:bidi="ar-SA"/>
    </w:rPr>
  </w:style>
  <w:style w:type="character" w:customStyle="1" w:styleId="40">
    <w:name w:val="标题 6 Char"/>
    <w:basedOn w:val="31"/>
    <w:link w:val="8"/>
    <w:qFormat/>
    <w:uiPriority w:val="0"/>
    <w:rPr>
      <w:rFonts w:ascii="Times New Roman" w:hAnsi="Times New Roman" w:eastAsia="黑体" w:cstheme="majorBidi"/>
      <w:b/>
      <w:bCs/>
      <w:kern w:val="44"/>
      <w:sz w:val="24"/>
      <w:szCs w:val="24"/>
    </w:rPr>
  </w:style>
  <w:style w:type="character" w:customStyle="1" w:styleId="41">
    <w:name w:val="标题 7 Char"/>
    <w:basedOn w:val="31"/>
    <w:link w:val="9"/>
    <w:qFormat/>
    <w:uiPriority w:val="0"/>
    <w:rPr>
      <w:rFonts w:ascii="Times New Roman" w:hAnsi="Times New Roman" w:eastAsia="黑体" w:cstheme="majorBidi"/>
      <w:b/>
      <w:bCs/>
      <w:kern w:val="44"/>
      <w:sz w:val="24"/>
      <w:szCs w:val="24"/>
    </w:rPr>
  </w:style>
  <w:style w:type="character" w:customStyle="1" w:styleId="42">
    <w:name w:val="标题 2 Char"/>
    <w:basedOn w:val="31"/>
    <w:link w:val="4"/>
    <w:qFormat/>
    <w:uiPriority w:val="0"/>
    <w:rPr>
      <w:rFonts w:ascii="Times New Roman" w:hAnsi="Times New Roman" w:eastAsia="黑体" w:cstheme="majorBidi"/>
      <w:b/>
      <w:bCs/>
      <w:kern w:val="44"/>
      <w:sz w:val="36"/>
      <w:szCs w:val="32"/>
    </w:rPr>
  </w:style>
  <w:style w:type="character" w:customStyle="1" w:styleId="43">
    <w:name w:val="批注框文本 Char"/>
    <w:link w:val="22"/>
    <w:qFormat/>
    <w:uiPriority w:val="0"/>
    <w:rPr>
      <w:kern w:val="2"/>
      <w:sz w:val="18"/>
      <w:szCs w:val="18"/>
    </w:rPr>
  </w:style>
  <w:style w:type="character" w:customStyle="1" w:styleId="44">
    <w:name w:val="标题 1 Char"/>
    <w:basedOn w:val="31"/>
    <w:link w:val="2"/>
    <w:qFormat/>
    <w:uiPriority w:val="0"/>
    <w:rPr>
      <w:rFonts w:ascii="Times New Roman" w:hAnsi="Times New Roman" w:eastAsia="黑体" w:cstheme="majorBidi"/>
      <w:kern w:val="44"/>
      <w:sz w:val="44"/>
      <w:szCs w:val="44"/>
    </w:rPr>
  </w:style>
  <w:style w:type="character" w:customStyle="1" w:styleId="45">
    <w:name w:val="正文文本缩进 Char"/>
    <w:link w:val="17"/>
    <w:qFormat/>
    <w:locked/>
    <w:uiPriority w:val="0"/>
    <w:rPr>
      <w:kern w:val="2"/>
      <w:sz w:val="21"/>
      <w:szCs w:val="24"/>
    </w:rPr>
  </w:style>
  <w:style w:type="character" w:customStyle="1" w:styleId="46">
    <w:name w:val="样式1 字符"/>
    <w:link w:val="47"/>
    <w:qFormat/>
    <w:uiPriority w:val="0"/>
    <w:rPr>
      <w:rFonts w:ascii="宋体" w:hAnsi="Courier New"/>
      <w:color w:val="000000"/>
      <w:kern w:val="2"/>
      <w:sz w:val="24"/>
      <w:szCs w:val="24"/>
    </w:rPr>
  </w:style>
  <w:style w:type="paragraph" w:customStyle="1" w:styleId="47">
    <w:name w:val="样式1"/>
    <w:basedOn w:val="20"/>
    <w:next w:val="8"/>
    <w:link w:val="46"/>
    <w:qFormat/>
    <w:uiPriority w:val="0"/>
    <w:pPr>
      <w:snapToGrid w:val="0"/>
      <w:spacing w:beforeLines="0" w:afterLines="0" w:line="360" w:lineRule="auto"/>
    </w:pPr>
    <w:rPr>
      <w:color w:val="000000"/>
    </w:rPr>
  </w:style>
  <w:style w:type="character" w:customStyle="1" w:styleId="48">
    <w:name w:val="标题 5 Char"/>
    <w:basedOn w:val="31"/>
    <w:link w:val="7"/>
    <w:qFormat/>
    <w:uiPriority w:val="0"/>
    <w:rPr>
      <w:rFonts w:ascii="Times New Roman" w:hAnsi="Times New Roman" w:eastAsia="黑体" w:cstheme="majorBidi"/>
      <w:b/>
      <w:bCs/>
      <w:kern w:val="44"/>
      <w:sz w:val="28"/>
      <w:szCs w:val="28"/>
    </w:rPr>
  </w:style>
  <w:style w:type="character" w:customStyle="1" w:styleId="49">
    <w:name w:val="纯文本 Char"/>
    <w:link w:val="20"/>
    <w:qFormat/>
    <w:locked/>
    <w:uiPriority w:val="0"/>
    <w:rPr>
      <w:rFonts w:ascii="宋体" w:hAnsi="Courier New"/>
      <w:kern w:val="2"/>
      <w:sz w:val="24"/>
      <w:szCs w:val="24"/>
    </w:rPr>
  </w:style>
  <w:style w:type="character" w:customStyle="1" w:styleId="50">
    <w:name w:val="标题 3 Char"/>
    <w:basedOn w:val="31"/>
    <w:link w:val="5"/>
    <w:qFormat/>
    <w:uiPriority w:val="0"/>
    <w:rPr>
      <w:rFonts w:ascii="Times New Roman" w:hAnsi="Times New Roman" w:eastAsia="黑体" w:cstheme="majorBidi"/>
      <w:b/>
      <w:bCs/>
      <w:kern w:val="44"/>
      <w:sz w:val="32"/>
      <w:szCs w:val="32"/>
    </w:rPr>
  </w:style>
  <w:style w:type="character" w:customStyle="1" w:styleId="51">
    <w:name w:val="141"/>
    <w:qFormat/>
    <w:uiPriority w:val="0"/>
    <w:rPr>
      <w:sz w:val="21"/>
      <w:szCs w:val="21"/>
    </w:rPr>
  </w:style>
  <w:style w:type="character" w:customStyle="1" w:styleId="52">
    <w:name w:val="标题 4 Char"/>
    <w:basedOn w:val="31"/>
    <w:link w:val="6"/>
    <w:qFormat/>
    <w:uiPriority w:val="0"/>
    <w:rPr>
      <w:rFonts w:ascii="Times New Roman" w:hAnsi="Times New Roman" w:eastAsia="黑体" w:cstheme="majorBidi"/>
      <w:b/>
      <w:bCs/>
      <w:kern w:val="44"/>
      <w:sz w:val="30"/>
      <w:szCs w:val="28"/>
    </w:rPr>
  </w:style>
  <w:style w:type="character" w:customStyle="1" w:styleId="53">
    <w:name w:val="文档结构图 Char"/>
    <w:link w:val="14"/>
    <w:qFormat/>
    <w:uiPriority w:val="0"/>
    <w:rPr>
      <w:rFonts w:ascii="Tahoma" w:hAnsi="Tahoma" w:cs="Tahoma"/>
      <w:kern w:val="2"/>
      <w:sz w:val="16"/>
      <w:szCs w:val="16"/>
    </w:rPr>
  </w:style>
  <w:style w:type="character" w:customStyle="1" w:styleId="54">
    <w:name w:val="正文文本缩进 2 Char"/>
    <w:link w:val="21"/>
    <w:qFormat/>
    <w:uiPriority w:val="0"/>
    <w:rPr>
      <w:kern w:val="2"/>
      <w:sz w:val="21"/>
      <w:szCs w:val="24"/>
    </w:rPr>
  </w:style>
  <w:style w:type="paragraph" w:customStyle="1" w:styleId="55">
    <w:name w:val="文章正文"/>
    <w:basedOn w:val="1"/>
    <w:qFormat/>
    <w:uiPriority w:val="0"/>
    <w:pPr>
      <w:ind w:firstLine="560"/>
    </w:pPr>
    <w:rPr>
      <w:rFonts w:eastAsia="仿宋_GB2312"/>
      <w:kern w:val="0"/>
      <w:sz w:val="28"/>
    </w:rPr>
  </w:style>
  <w:style w:type="paragraph" w:customStyle="1" w:styleId="56">
    <w:name w:val="List Paragraph1"/>
    <w:basedOn w:val="1"/>
    <w:qFormat/>
    <w:uiPriority w:val="0"/>
    <w:pPr>
      <w:widowControl/>
      <w:spacing w:after="200" w:line="276" w:lineRule="auto"/>
      <w:ind w:left="720"/>
      <w:contextualSpacing/>
      <w:jc w:val="left"/>
    </w:pPr>
    <w:rPr>
      <w:kern w:val="0"/>
      <w:sz w:val="22"/>
    </w:rPr>
  </w:style>
  <w:style w:type="paragraph" w:customStyle="1" w:styleId="57">
    <w:name w:val="中等深浅网格 21"/>
    <w:qFormat/>
    <w:uiPriority w:val="1"/>
    <w:pPr>
      <w:widowControl w:val="0"/>
      <w:jc w:val="both"/>
    </w:pPr>
    <w:rPr>
      <w:rFonts w:ascii="Calibri" w:hAnsi="Calibri" w:eastAsia="宋体" w:cs="Times New Roman"/>
      <w:kern w:val="2"/>
      <w:sz w:val="21"/>
      <w:szCs w:val="24"/>
      <w:lang w:val="en-US" w:eastAsia="zh-CN" w:bidi="ar-SA"/>
    </w:rPr>
  </w:style>
  <w:style w:type="paragraph" w:customStyle="1" w:styleId="58">
    <w:name w:val="正文段"/>
    <w:basedOn w:val="1"/>
    <w:qFormat/>
    <w:uiPriority w:val="0"/>
    <w:pPr>
      <w:widowControl/>
      <w:snapToGrid w:val="0"/>
      <w:spacing w:afterLines="50"/>
    </w:pPr>
    <w:rPr>
      <w:kern w:val="0"/>
      <w:szCs w:val="20"/>
    </w:rPr>
  </w:style>
  <w:style w:type="paragraph" w:customStyle="1" w:styleId="59">
    <w:name w:val="彩色列表 - 着色 11"/>
    <w:basedOn w:val="1"/>
    <w:qFormat/>
    <w:uiPriority w:val="0"/>
    <w:pPr>
      <w:ind w:firstLine="420"/>
    </w:pPr>
  </w:style>
  <w:style w:type="paragraph" w:customStyle="1" w:styleId="60">
    <w:name w:val="Char"/>
    <w:basedOn w:val="1"/>
    <w:qFormat/>
    <w:uiPriority w:val="0"/>
    <w:rPr>
      <w:rFonts w:ascii="Tahoma" w:hAnsi="Tahoma"/>
      <w:szCs w:val="20"/>
    </w:rPr>
  </w:style>
  <w:style w:type="paragraph" w:customStyle="1" w:styleId="61">
    <w:name w:val="列出段落1"/>
    <w:basedOn w:val="1"/>
    <w:qFormat/>
    <w:uiPriority w:val="0"/>
  </w:style>
  <w:style w:type="paragraph" w:customStyle="1" w:styleId="62">
    <w:name w:val="p0"/>
    <w:basedOn w:val="1"/>
    <w:qFormat/>
    <w:uiPriority w:val="0"/>
    <w:pPr>
      <w:widowControl/>
    </w:pPr>
    <w:rPr>
      <w:kern w:val="0"/>
    </w:rPr>
  </w:style>
  <w:style w:type="paragraph" w:customStyle="1" w:styleId="63">
    <w:name w:val="样式 首行缩进:  2.25 字符"/>
    <w:basedOn w:val="1"/>
    <w:qFormat/>
    <w:uiPriority w:val="0"/>
    <w:pPr>
      <w:ind w:firstLine="225" w:firstLineChars="225"/>
    </w:pPr>
    <w:rPr>
      <w:rFonts w:cs="宋体"/>
      <w:szCs w:val="20"/>
    </w:rPr>
  </w:style>
  <w:style w:type="paragraph" w:customStyle="1" w:styleId="64">
    <w:name w:val="Char Char Char Char1"/>
    <w:basedOn w:val="1"/>
    <w:qFormat/>
    <w:uiPriority w:val="0"/>
    <w:pPr>
      <w:tabs>
        <w:tab w:val="left" w:pos="0"/>
      </w:tabs>
    </w:pPr>
    <w:rPr>
      <w:rFonts w:ascii="宋体" w:hAnsi="宋体" w:eastAsia="仿宋_GB2312"/>
      <w:sz w:val="28"/>
    </w:rPr>
  </w:style>
  <w:style w:type="character" w:customStyle="1" w:styleId="65">
    <w:name w:val="标题 Char"/>
    <w:basedOn w:val="31"/>
    <w:link w:val="3"/>
    <w:qFormat/>
    <w:uiPriority w:val="0"/>
    <w:rPr>
      <w:rFonts w:asciiTheme="majorHAnsi" w:hAnsiTheme="majorHAnsi" w:cstheme="majorBidi"/>
      <w:b/>
      <w:bCs/>
      <w:kern w:val="2"/>
      <w:sz w:val="32"/>
      <w:szCs w:val="32"/>
    </w:rPr>
  </w:style>
  <w:style w:type="character" w:customStyle="1" w:styleId="66">
    <w:name w:val="页脚 Char"/>
    <w:basedOn w:val="31"/>
    <w:link w:val="23"/>
    <w:qFormat/>
    <w:uiPriority w:val="99"/>
    <w:rPr>
      <w:rFonts w:ascii="Times New Roman" w:hAnsi="Times New Roman" w:cstheme="minorBidi"/>
      <w:kern w:val="2"/>
      <w:sz w:val="18"/>
      <w:szCs w:val="18"/>
    </w:rPr>
  </w:style>
  <w:style w:type="character" w:customStyle="1" w:styleId="67">
    <w:name w:val="页眉 Char"/>
    <w:basedOn w:val="31"/>
    <w:link w:val="24"/>
    <w:qFormat/>
    <w:uiPriority w:val="99"/>
    <w:rPr>
      <w:rFonts w:ascii="Times New Roman" w:hAnsi="Times New Roman" w:cstheme="minorBidi"/>
      <w:kern w:val="2"/>
      <w:sz w:val="18"/>
      <w:szCs w:val="18"/>
    </w:rPr>
  </w:style>
  <w:style w:type="paragraph" w:customStyle="1" w:styleId="68">
    <w:name w:val="正文缩进T"/>
    <w:basedOn w:val="1"/>
    <w:link w:val="69"/>
    <w:qFormat/>
    <w:uiPriority w:val="0"/>
    <w:pPr>
      <w:ind w:firstLine="480" w:firstLineChars="200"/>
    </w:pPr>
  </w:style>
  <w:style w:type="character" w:customStyle="1" w:styleId="69">
    <w:name w:val="正文缩进T Char"/>
    <w:basedOn w:val="31"/>
    <w:link w:val="68"/>
    <w:qFormat/>
    <w:uiPriority w:val="0"/>
    <w:rPr>
      <w:rFonts w:ascii="Times New Roman" w:hAnsi="Times New Roman" w:cstheme="minorBidi"/>
      <w:kern w:val="2"/>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736</Words>
  <Characters>4198</Characters>
  <Lines>34</Lines>
  <Paragraphs>9</Paragraphs>
  <TotalTime>15</TotalTime>
  <ScaleCrop>false</ScaleCrop>
  <LinksUpToDate>false</LinksUpToDate>
  <CharactersWithSpaces>4925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2021-07-12T16:26:00Z</dcterms:created>
  <dc:creator>微软用户</dc:creator>
  <cp:lastModifiedBy>小暖</cp:lastModifiedBy>
  <cp:lastPrinted>2012-10-26T08:18:00Z</cp:lastPrinted>
  <dcterms:modified xsi:type="dcterms:W3CDTF">2021-10-25T06:50:59Z</dcterms:modified>
  <dc:title>公开招标采购文件</dc:title>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FEDBBF51B83844CF89969B2D13BAB74B</vt:lpwstr>
  </property>
</Properties>
</file>