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outlineLvl w:val="0"/>
        <w:rPr>
          <w:rFonts w:hint="default" w:ascii="宋体" w:hAnsi="宋体"/>
          <w:b/>
          <w:kern w:val="0"/>
          <w:sz w:val="44"/>
          <w:szCs w:val="44"/>
          <w:highlight w:val="none"/>
          <w:lang w:val="en-US" w:eastAsia="zh-CN"/>
        </w:rPr>
      </w:pPr>
      <w:bookmarkStart w:id="0" w:name="_Hlk46608012"/>
      <w:r>
        <w:rPr>
          <w:rFonts w:hint="eastAsia" w:ascii="宋体" w:hAnsi="宋体" w:eastAsia="宋体"/>
          <w:b/>
          <w:kern w:val="0"/>
          <w:sz w:val="44"/>
          <w:szCs w:val="44"/>
          <w:highlight w:val="none"/>
        </w:rPr>
        <w:t>南京市江宁医院</w:t>
      </w:r>
      <w:r>
        <w:rPr>
          <w:rFonts w:hint="eastAsia" w:ascii="宋体" w:hAnsi="宋体"/>
          <w:b/>
          <w:kern w:val="0"/>
          <w:sz w:val="44"/>
          <w:szCs w:val="44"/>
          <w:highlight w:val="none"/>
          <w:lang w:eastAsia="zh-CN"/>
        </w:rPr>
        <w:t>自助检验</w:t>
      </w:r>
      <w:r>
        <w:rPr>
          <w:rFonts w:hint="eastAsia" w:ascii="宋体" w:hAnsi="宋体"/>
          <w:b/>
          <w:kern w:val="0"/>
          <w:sz w:val="44"/>
          <w:szCs w:val="44"/>
          <w:highlight w:val="none"/>
          <w:lang w:val="en-US" w:eastAsia="zh-CN"/>
        </w:rPr>
        <w:t>报告打印机</w:t>
      </w:r>
    </w:p>
    <w:p>
      <w:pPr>
        <w:spacing w:line="480" w:lineRule="auto"/>
        <w:jc w:val="center"/>
        <w:outlineLvl w:val="0"/>
        <w:rPr>
          <w:rFonts w:ascii="宋体" w:hAnsi="宋体" w:eastAsia="宋体"/>
          <w:b/>
          <w:kern w:val="0"/>
          <w:sz w:val="44"/>
          <w:szCs w:val="44"/>
          <w:highlight w:val="yellow"/>
        </w:rPr>
      </w:pPr>
      <w:r>
        <w:rPr>
          <w:rFonts w:hint="eastAsia" w:ascii="宋体" w:hAnsi="宋体"/>
          <w:b/>
          <w:kern w:val="0"/>
          <w:sz w:val="44"/>
          <w:szCs w:val="44"/>
          <w:highlight w:val="none"/>
          <w:lang w:val="en-US" w:eastAsia="zh-CN"/>
        </w:rPr>
        <w:t>采购</w:t>
      </w:r>
      <w:r>
        <w:rPr>
          <w:rFonts w:ascii="宋体" w:hAnsi="宋体" w:eastAsia="宋体"/>
          <w:b/>
          <w:kern w:val="0"/>
          <w:sz w:val="44"/>
          <w:szCs w:val="44"/>
          <w:highlight w:val="none"/>
        </w:rPr>
        <w:t>项目</w:t>
      </w:r>
    </w:p>
    <w:bookmarkEnd w:id="0"/>
    <w:p>
      <w:pPr>
        <w:spacing w:line="480" w:lineRule="auto"/>
        <w:jc w:val="center"/>
        <w:outlineLvl w:val="0"/>
        <w:rPr>
          <w:rFonts w:hint="eastAsia" w:ascii="宋体" w:hAnsi="宋体" w:eastAsia="宋体"/>
          <w:b/>
          <w:kern w:val="0"/>
          <w:sz w:val="44"/>
          <w:szCs w:val="44"/>
        </w:rPr>
      </w:pPr>
      <w:r>
        <w:rPr>
          <w:rFonts w:hint="eastAsia" w:ascii="宋体" w:hAnsi="宋体" w:eastAsia="宋体"/>
          <w:b/>
          <w:kern w:val="0"/>
          <w:sz w:val="44"/>
          <w:szCs w:val="44"/>
        </w:rPr>
        <w:t>第一章    供应商报名资格要求</w:t>
      </w:r>
    </w:p>
    <w:p>
      <w:pPr>
        <w:spacing w:line="360" w:lineRule="auto"/>
        <w:ind w:firstLine="480" w:firstLineChars="200"/>
        <w:rPr>
          <w:rFonts w:hint="eastAsia" w:ascii="宋体" w:hAnsi="宋体" w:eastAsia="宋体"/>
          <w:kern w:val="0"/>
        </w:rPr>
      </w:pPr>
      <w:r>
        <w:rPr>
          <w:rFonts w:hint="eastAsia" w:ascii="宋体" w:hAnsi="宋体" w:eastAsia="宋体"/>
          <w:kern w:val="0"/>
        </w:rPr>
        <w:t>一、各供应商在报名时须提供法人、企业、产品与经营信息等证明文件；</w:t>
      </w:r>
    </w:p>
    <w:p>
      <w:pPr>
        <w:spacing w:line="360" w:lineRule="auto"/>
        <w:ind w:firstLine="480" w:firstLineChars="200"/>
        <w:rPr>
          <w:rFonts w:hint="eastAsia" w:ascii="宋体" w:hAnsi="宋体" w:eastAsia="宋体"/>
          <w:kern w:val="0"/>
        </w:rPr>
      </w:pPr>
      <w:r>
        <w:rPr>
          <w:rFonts w:hint="eastAsia" w:ascii="宋体" w:hAnsi="宋体" w:eastAsia="宋体"/>
          <w:kern w:val="0"/>
        </w:rPr>
        <w:t>1）具有独立承担民事责任的能力的证明材料，出具符合以下情况的证明材料复印件（五选一）：</w:t>
      </w:r>
    </w:p>
    <w:p>
      <w:pPr>
        <w:spacing w:line="360" w:lineRule="auto"/>
        <w:ind w:firstLine="480" w:firstLineChars="200"/>
        <w:rPr>
          <w:rFonts w:hint="eastAsia" w:ascii="宋体" w:hAnsi="宋体" w:eastAsia="宋体"/>
          <w:kern w:val="0"/>
        </w:rPr>
      </w:pPr>
      <w:r>
        <w:rPr>
          <w:rFonts w:hint="eastAsia" w:ascii="宋体" w:hAnsi="宋体" w:eastAsia="宋体"/>
          <w:kern w:val="0"/>
        </w:rPr>
        <w:t>A.如供应商是企业（包括合伙企业），提供在工商部门注册的有效“企业法人营业执照”或“营业执照”；</w:t>
      </w:r>
    </w:p>
    <w:p>
      <w:pPr>
        <w:spacing w:line="360" w:lineRule="auto"/>
        <w:ind w:firstLine="480" w:firstLineChars="200"/>
        <w:rPr>
          <w:rFonts w:hint="eastAsia" w:ascii="宋体" w:hAnsi="宋体" w:eastAsia="宋体"/>
          <w:kern w:val="0"/>
        </w:rPr>
      </w:pPr>
      <w:r>
        <w:rPr>
          <w:rFonts w:hint="eastAsia" w:ascii="宋体" w:hAnsi="宋体" w:eastAsia="宋体"/>
          <w:kern w:val="0"/>
        </w:rPr>
        <w:t>B.如供应商是事业单位，提供有效的“事业单位法人证书”；</w:t>
      </w:r>
    </w:p>
    <w:p>
      <w:pPr>
        <w:spacing w:line="360" w:lineRule="auto"/>
        <w:ind w:firstLine="480" w:firstLineChars="200"/>
        <w:rPr>
          <w:rFonts w:hint="eastAsia" w:ascii="宋体" w:hAnsi="宋体" w:eastAsia="宋体"/>
          <w:kern w:val="0"/>
        </w:rPr>
      </w:pPr>
      <w:r>
        <w:rPr>
          <w:rFonts w:hint="eastAsia" w:ascii="宋体" w:hAnsi="宋体" w:eastAsia="宋体"/>
          <w:kern w:val="0"/>
        </w:rPr>
        <w:t>C.如供应商是非企业专业服务机构的，提供执业许可证等证明文件；</w:t>
      </w:r>
    </w:p>
    <w:p>
      <w:pPr>
        <w:spacing w:line="360" w:lineRule="auto"/>
        <w:ind w:firstLine="480" w:firstLineChars="200"/>
        <w:rPr>
          <w:rFonts w:hint="eastAsia" w:ascii="宋体" w:hAnsi="宋体" w:eastAsia="宋体"/>
          <w:kern w:val="0"/>
        </w:rPr>
      </w:pPr>
      <w:r>
        <w:rPr>
          <w:rFonts w:hint="eastAsia" w:ascii="宋体" w:hAnsi="宋体" w:eastAsia="宋体"/>
          <w:kern w:val="0"/>
        </w:rPr>
        <w:t>D.如供应商是个体工商户，提供有效的“个体工商户营业执照”；</w:t>
      </w:r>
    </w:p>
    <w:p>
      <w:pPr>
        <w:spacing w:line="360" w:lineRule="auto"/>
        <w:ind w:firstLine="480" w:firstLineChars="200"/>
        <w:rPr>
          <w:rFonts w:hint="eastAsia" w:ascii="宋体" w:hAnsi="宋体" w:eastAsia="宋体"/>
          <w:kern w:val="0"/>
        </w:rPr>
      </w:pPr>
      <w:r>
        <w:rPr>
          <w:rFonts w:hint="eastAsia" w:ascii="宋体" w:hAnsi="宋体" w:eastAsia="宋体"/>
          <w:kern w:val="0"/>
        </w:rPr>
        <w:t>E.如供应商是自然人，提供有效的自然人身份证明（居民身份证正反面或公安机关出具的临时居民身份证正反面或港澳台胞证或护照）。</w:t>
      </w:r>
    </w:p>
    <w:p>
      <w:pPr>
        <w:spacing w:line="360" w:lineRule="auto"/>
        <w:ind w:firstLine="480" w:firstLineChars="200"/>
        <w:rPr>
          <w:rFonts w:hint="eastAsia" w:ascii="宋体" w:hAnsi="宋体" w:eastAsia="宋体"/>
          <w:kern w:val="0"/>
        </w:rPr>
      </w:pPr>
      <w:r>
        <w:rPr>
          <w:rFonts w:hint="eastAsia" w:ascii="宋体" w:hAnsi="宋体" w:eastAsia="宋体"/>
          <w:kern w:val="0"/>
        </w:rPr>
        <w:t>2）法定代表人资格证明书；</w:t>
      </w:r>
    </w:p>
    <w:p>
      <w:pPr>
        <w:spacing w:line="360" w:lineRule="auto"/>
        <w:ind w:firstLine="480" w:firstLineChars="200"/>
        <w:rPr>
          <w:rFonts w:hint="eastAsia" w:ascii="宋体" w:hAnsi="宋体" w:eastAsia="宋体"/>
          <w:kern w:val="0"/>
        </w:rPr>
      </w:pPr>
      <w:r>
        <w:rPr>
          <w:rFonts w:hint="eastAsia" w:ascii="宋体" w:hAnsi="宋体" w:eastAsia="宋体"/>
          <w:kern w:val="0"/>
        </w:rPr>
        <w:t>3）法定代表人授权委托书（法定代表人签署不需提供此书）；法定代表人及授权代表身份证正反面复印件；</w:t>
      </w:r>
    </w:p>
    <w:p>
      <w:pPr>
        <w:spacing w:line="360" w:lineRule="auto"/>
        <w:ind w:firstLine="480" w:firstLineChars="200"/>
        <w:rPr>
          <w:rFonts w:hint="eastAsia" w:ascii="宋体" w:hAnsi="宋体" w:eastAsia="宋体"/>
          <w:kern w:val="0"/>
        </w:rPr>
      </w:pPr>
      <w:r>
        <w:rPr>
          <w:rFonts w:hint="eastAsia" w:ascii="宋体" w:hAnsi="宋体" w:eastAsia="宋体"/>
          <w:kern w:val="0"/>
        </w:rPr>
        <w:t>4）社保机构出具授权代表的投标截止日前6个月内授权代表的投标单位社保缴纳证明，任职不足6个月的可提供劳动合同证明文件；</w:t>
      </w:r>
    </w:p>
    <w:p>
      <w:pPr>
        <w:spacing w:line="360" w:lineRule="auto"/>
        <w:ind w:firstLine="480" w:firstLineChars="200"/>
        <w:rPr>
          <w:rFonts w:hint="eastAsia" w:ascii="宋体" w:hAnsi="宋体" w:eastAsia="宋体"/>
          <w:kern w:val="0"/>
        </w:rPr>
      </w:pPr>
      <w:r>
        <w:rPr>
          <w:rFonts w:hint="eastAsia" w:ascii="宋体" w:hAnsi="宋体" w:eastAsia="宋体"/>
          <w:kern w:val="0"/>
        </w:rPr>
        <w:t>5）近三年任意年度单位财务审计报告（原件审查）。</w:t>
      </w:r>
    </w:p>
    <w:p>
      <w:pPr>
        <w:pStyle w:val="2"/>
        <w:rPr>
          <w:rFonts w:hint="eastAsia"/>
        </w:rPr>
      </w:pPr>
    </w:p>
    <w:p>
      <w:pPr>
        <w:spacing w:line="480" w:lineRule="auto"/>
        <w:jc w:val="center"/>
        <w:outlineLvl w:val="0"/>
        <w:rPr>
          <w:rFonts w:hint="eastAsia" w:ascii="宋体" w:hAnsi="宋体" w:eastAsia="宋体"/>
          <w:b/>
          <w:kern w:val="0"/>
          <w:sz w:val="44"/>
          <w:szCs w:val="44"/>
        </w:rPr>
      </w:pPr>
      <w:r>
        <w:rPr>
          <w:rFonts w:hint="eastAsia" w:ascii="宋体" w:hAnsi="宋体" w:eastAsia="宋体"/>
          <w:b/>
          <w:kern w:val="0"/>
          <w:sz w:val="44"/>
          <w:szCs w:val="44"/>
        </w:rPr>
        <w:br w:type="page"/>
      </w:r>
      <w:r>
        <w:rPr>
          <w:rFonts w:hint="eastAsia" w:ascii="宋体" w:hAnsi="宋体" w:eastAsia="宋体"/>
          <w:b/>
          <w:kern w:val="0"/>
          <w:sz w:val="44"/>
          <w:szCs w:val="44"/>
        </w:rPr>
        <w:t>第二章    采购需求</w:t>
      </w:r>
    </w:p>
    <w:p>
      <w:pPr>
        <w:spacing w:line="360" w:lineRule="auto"/>
        <w:ind w:firstLine="482" w:firstLineChars="200"/>
        <w:rPr>
          <w:rFonts w:hint="eastAsia" w:ascii="宋体" w:hAnsi="宋体" w:eastAsia="宋体"/>
          <w:b/>
          <w:kern w:val="0"/>
          <w:lang w:eastAsia="zh-CN"/>
        </w:rPr>
      </w:pPr>
      <w:bookmarkStart w:id="1" w:name="_Toc374180011"/>
      <w:bookmarkStart w:id="2" w:name="_Toc358561382"/>
      <w:r>
        <w:rPr>
          <w:rFonts w:hint="eastAsia" w:ascii="宋体" w:hAnsi="宋体" w:eastAsia="宋体"/>
          <w:b/>
          <w:kern w:val="0"/>
        </w:rPr>
        <w:t>1、项目</w:t>
      </w:r>
      <w:bookmarkEnd w:id="1"/>
      <w:bookmarkEnd w:id="2"/>
      <w:r>
        <w:rPr>
          <w:rFonts w:hint="eastAsia" w:ascii="宋体" w:hAnsi="宋体"/>
          <w:b/>
          <w:kern w:val="0"/>
          <w:lang w:val="en-US" w:eastAsia="zh-CN"/>
        </w:rPr>
        <w:t>概况</w:t>
      </w:r>
      <w:bookmarkStart w:id="6" w:name="_GoBack"/>
      <w:bookmarkEnd w:id="6"/>
    </w:p>
    <w:p>
      <w:pPr>
        <w:spacing w:line="360" w:lineRule="auto"/>
        <w:ind w:firstLine="480" w:firstLineChars="200"/>
        <w:rPr>
          <w:rFonts w:hint="default" w:ascii="宋体" w:hAnsi="宋体" w:eastAsia="宋体" w:cs="宋体"/>
          <w:color w:val="333333"/>
          <w:kern w:val="0"/>
          <w:szCs w:val="24"/>
          <w:highlight w:val="none"/>
          <w:lang w:val="en-US" w:eastAsia="zh-CN"/>
        </w:rPr>
      </w:pPr>
      <w:r>
        <w:rPr>
          <w:rFonts w:hint="eastAsia" w:ascii="宋体" w:hAnsi="宋体" w:eastAsia="宋体" w:cs="宋体"/>
          <w:color w:val="333333"/>
          <w:kern w:val="0"/>
          <w:szCs w:val="24"/>
        </w:rPr>
        <w:t>项目名称：</w:t>
      </w:r>
      <w:r>
        <w:rPr>
          <w:rFonts w:hint="eastAsia" w:ascii="宋体" w:hAnsi="宋体" w:eastAsia="宋体" w:cs="宋体"/>
          <w:color w:val="333333"/>
          <w:kern w:val="0"/>
          <w:szCs w:val="24"/>
          <w:highlight w:val="none"/>
          <w:lang w:val="en-US" w:eastAsia="zh-CN"/>
        </w:rPr>
        <w:t>南京市江宁医院</w:t>
      </w:r>
      <w:r>
        <w:rPr>
          <w:rFonts w:hint="eastAsia" w:ascii="宋体" w:hAnsi="宋体" w:cs="宋体"/>
          <w:color w:val="333333"/>
          <w:kern w:val="0"/>
          <w:szCs w:val="24"/>
          <w:highlight w:val="none"/>
          <w:lang w:val="en-US" w:eastAsia="zh-CN"/>
        </w:rPr>
        <w:t>自助检验报告打印机系统</w:t>
      </w:r>
      <w:r>
        <w:rPr>
          <w:rFonts w:hint="eastAsia" w:ascii="宋体" w:hAnsi="宋体" w:eastAsia="宋体" w:cs="宋体"/>
          <w:color w:val="333333"/>
          <w:kern w:val="0"/>
          <w:szCs w:val="24"/>
          <w:highlight w:val="none"/>
          <w:lang w:val="en-US" w:eastAsia="zh-CN"/>
        </w:rPr>
        <w:t>采购项目</w:t>
      </w:r>
    </w:p>
    <w:p>
      <w:pPr>
        <w:bidi w:val="0"/>
        <w:rPr>
          <w:rFonts w:hint="eastAsia" w:eastAsia="宋体"/>
          <w:lang w:val="en-US" w:eastAsia="zh-CN"/>
        </w:rPr>
      </w:pPr>
      <w:r>
        <w:rPr>
          <w:rFonts w:hint="eastAsia"/>
        </w:rPr>
        <w:t>为了减轻院方在现实医疗环境中的工作量，同时为了减少病人诊疗排队过程中的等待时间，大量自助服务应用</w:t>
      </w:r>
      <w:r>
        <w:rPr>
          <w:rFonts w:hint="eastAsia"/>
          <w:lang w:val="en-US" w:eastAsia="zh-CN"/>
        </w:rPr>
        <w:t>系统</w:t>
      </w:r>
      <w:r>
        <w:rPr>
          <w:rFonts w:hint="eastAsia"/>
        </w:rPr>
        <w:t>应运而生</w:t>
      </w:r>
      <w:r>
        <w:rPr>
          <w:rFonts w:hint="eastAsia"/>
          <w:lang w:eastAsia="zh-CN"/>
        </w:rPr>
        <w:t>。</w:t>
      </w:r>
    </w:p>
    <w:p>
      <w:pPr>
        <w:bidi w:val="0"/>
      </w:pPr>
      <w:r>
        <w:rPr>
          <w:rFonts w:hint="eastAsia"/>
        </w:rPr>
        <w:t>本次项目将</w:t>
      </w:r>
      <w:r>
        <w:t>在医院现有门诊医疗服务基础上，增加</w:t>
      </w:r>
      <w:r>
        <w:rPr>
          <w:rFonts w:hint="eastAsia"/>
          <w:lang w:val="en-US" w:eastAsia="zh-CN"/>
        </w:rPr>
        <w:t>建设报告打印机</w:t>
      </w:r>
      <w:r>
        <w:t>，方便患者</w:t>
      </w:r>
      <w:r>
        <w:rPr>
          <w:rFonts w:hint="eastAsia"/>
        </w:rPr>
        <w:t>进行</w:t>
      </w:r>
      <w:r>
        <w:rPr>
          <w:rFonts w:hint="eastAsia"/>
          <w:lang w:val="en-US" w:eastAsia="zh-CN"/>
        </w:rPr>
        <w:t>检查报告</w:t>
      </w:r>
      <w:r>
        <w:t>查询和打印功能，</w:t>
      </w:r>
      <w:r>
        <w:rPr>
          <w:rFonts w:hint="eastAsia"/>
        </w:rPr>
        <w:t>减少</w:t>
      </w:r>
      <w:r>
        <w:t>患者</w:t>
      </w:r>
      <w:r>
        <w:rPr>
          <w:rFonts w:hint="eastAsia"/>
          <w:lang w:val="en-US" w:eastAsia="zh-CN"/>
        </w:rPr>
        <w:t>取</w:t>
      </w:r>
      <w:r>
        <w:t>报告时来回奔走的现象</w:t>
      </w:r>
      <w:r>
        <w:rPr>
          <w:rFonts w:hint="eastAsia"/>
        </w:rPr>
        <w:t>，优化医院诊疗流程，提高诊疗效率和患者对医院的满意，提</w:t>
      </w:r>
      <w:r>
        <w:t>高</w:t>
      </w:r>
      <w:r>
        <w:rPr>
          <w:rFonts w:hint="eastAsia"/>
        </w:rPr>
        <w:t>患者就医</w:t>
      </w:r>
      <w:r>
        <w:t>服务质量</w:t>
      </w:r>
      <w:r>
        <w:rPr>
          <w:rFonts w:hint="eastAsia"/>
        </w:rPr>
        <w:t>，为患者提供更加专业、可靠、舒心的就医体验</w:t>
      </w:r>
      <w:r>
        <w:rPr>
          <w:rFonts w:hint="eastAsia"/>
          <w:lang w:eastAsia="zh-CN"/>
        </w:rPr>
        <w:t>。</w:t>
      </w:r>
    </w:p>
    <w:p>
      <w:pPr>
        <w:spacing w:line="360" w:lineRule="auto"/>
        <w:ind w:firstLine="482" w:firstLineChars="200"/>
        <w:rPr>
          <w:rFonts w:ascii="宋体" w:hAnsi="宋体" w:eastAsia="宋体"/>
          <w:b/>
          <w:kern w:val="0"/>
        </w:rPr>
      </w:pPr>
      <w:r>
        <w:rPr>
          <w:rFonts w:hint="eastAsia" w:ascii="宋体" w:hAnsi="宋体"/>
          <w:b/>
          <w:kern w:val="0"/>
          <w:lang w:val="en-US" w:eastAsia="zh-CN"/>
        </w:rPr>
        <w:t>2</w:t>
      </w:r>
      <w:r>
        <w:rPr>
          <w:rFonts w:hint="eastAsia" w:ascii="宋体" w:hAnsi="宋体" w:eastAsia="宋体"/>
          <w:b/>
          <w:kern w:val="0"/>
        </w:rPr>
        <w:t>、产品清单</w:t>
      </w:r>
    </w:p>
    <w:tbl>
      <w:tblPr>
        <w:tblStyle w:val="3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2360"/>
        <w:gridCol w:w="3918"/>
        <w:gridCol w:w="1361"/>
        <w:gridCol w:w="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536" w:type="dxa"/>
            <w:tcBorders>
              <w:tl2br w:val="nil"/>
              <w:tr2bl w:val="nil"/>
            </w:tcBorders>
            <w:noWrap w:val="0"/>
            <w:vAlign w:val="center"/>
          </w:tcPr>
          <w:p>
            <w:pPr>
              <w:widowControl/>
              <w:ind w:left="0" w:leftChars="0"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2360" w:type="dxa"/>
            <w:tcBorders>
              <w:tl2br w:val="nil"/>
              <w:tr2bl w:val="nil"/>
            </w:tcBorders>
            <w:noWrap/>
            <w:vAlign w:val="center"/>
          </w:tcPr>
          <w:p>
            <w:pPr>
              <w:widowControl/>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项目</w:t>
            </w:r>
          </w:p>
        </w:tc>
        <w:tc>
          <w:tcPr>
            <w:tcW w:w="3918" w:type="dxa"/>
            <w:tcBorders>
              <w:tl2br w:val="nil"/>
              <w:tr2bl w:val="nil"/>
            </w:tcBorders>
            <w:noWrap/>
            <w:vAlign w:val="center"/>
          </w:tcPr>
          <w:p>
            <w:pPr>
              <w:widowControl/>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名称</w:t>
            </w:r>
          </w:p>
        </w:tc>
        <w:tc>
          <w:tcPr>
            <w:tcW w:w="1361" w:type="dxa"/>
            <w:tcBorders>
              <w:tl2br w:val="nil"/>
              <w:tr2bl w:val="nil"/>
            </w:tcBorders>
            <w:noWrap/>
            <w:vAlign w:val="center"/>
          </w:tcPr>
          <w:p>
            <w:pPr>
              <w:widowControl/>
              <w:ind w:left="0" w:leftChars="0" w:firstLine="220" w:firstLineChars="100"/>
              <w:jc w:val="both"/>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数量</w:t>
            </w:r>
          </w:p>
        </w:tc>
        <w:tc>
          <w:tcPr>
            <w:tcW w:w="896" w:type="dxa"/>
            <w:tcBorders>
              <w:tl2br w:val="nil"/>
              <w:tr2bl w:val="nil"/>
            </w:tcBorders>
            <w:noWrap w:val="0"/>
            <w:vAlign w:val="center"/>
          </w:tcPr>
          <w:p>
            <w:pPr>
              <w:widowControl/>
              <w:ind w:left="0" w:leftChars="0" w:firstLine="220" w:firstLineChars="100"/>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36" w:type="dxa"/>
            <w:tcBorders>
              <w:tl2br w:val="nil"/>
              <w:tr2bl w:val="nil"/>
            </w:tcBorders>
            <w:noWrap w:val="0"/>
            <w:vAlign w:val="center"/>
          </w:tcPr>
          <w:p>
            <w:pPr>
              <w:widowControl/>
              <w:ind w:left="0" w:leftChars="0"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2360" w:type="dxa"/>
            <w:tcBorders>
              <w:tl2br w:val="nil"/>
              <w:tr2bl w:val="nil"/>
            </w:tcBorders>
            <w:noWrap/>
            <w:vAlign w:val="center"/>
          </w:tcPr>
          <w:p>
            <w:pPr>
              <w:widowControl/>
              <w:ind w:left="0" w:leftChars="0" w:firstLine="0" w:firstLineChars="0"/>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报告打印机</w:t>
            </w:r>
          </w:p>
        </w:tc>
        <w:tc>
          <w:tcPr>
            <w:tcW w:w="3918" w:type="dxa"/>
            <w:tcBorders>
              <w:tl2br w:val="nil"/>
              <w:tr2bl w:val="nil"/>
            </w:tcBorders>
            <w:noWrap/>
            <w:vAlign w:val="center"/>
          </w:tcPr>
          <w:p>
            <w:pPr>
              <w:widowControl/>
              <w:ind w:left="0" w:leftChars="0" w:firstLine="0" w:firstLineChars="0"/>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报告打印机</w:t>
            </w:r>
          </w:p>
        </w:tc>
        <w:tc>
          <w:tcPr>
            <w:tcW w:w="1361" w:type="dxa"/>
            <w:tcBorders>
              <w:tl2br w:val="nil"/>
              <w:tr2bl w:val="nil"/>
            </w:tcBorders>
            <w:noWrap/>
            <w:vAlign w:val="center"/>
          </w:tcPr>
          <w:p>
            <w:pPr>
              <w:widowControl/>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896" w:type="dxa"/>
            <w:tcBorders>
              <w:tl2br w:val="nil"/>
              <w:tr2bl w:val="nil"/>
            </w:tcBorders>
            <w:noWrap w:val="0"/>
            <w:vAlign w:val="center"/>
          </w:tcPr>
          <w:p>
            <w:pPr>
              <w:widowControl/>
              <w:jc w:val="left"/>
              <w:rPr>
                <w:rFonts w:hint="eastAsia" w:ascii="宋体" w:hAnsi="宋体" w:eastAsia="宋体" w:cs="宋体"/>
                <w:color w:val="000000"/>
                <w:kern w:val="0"/>
                <w:sz w:val="22"/>
                <w:szCs w:val="22"/>
              </w:rPr>
            </w:pPr>
          </w:p>
        </w:tc>
      </w:tr>
    </w:tbl>
    <w:p>
      <w:pPr>
        <w:pStyle w:val="2"/>
        <w:ind w:left="1440"/>
        <w:rPr>
          <w:rFonts w:hint="eastAsia"/>
        </w:rPr>
      </w:pPr>
    </w:p>
    <w:p>
      <w:pPr>
        <w:pStyle w:val="54"/>
        <w:ind w:firstLine="482" w:firstLineChars="200"/>
        <w:rPr>
          <w:rFonts w:ascii="宋体" w:hAnsi="宋体" w:cs="Times New Roman"/>
          <w:b/>
          <w:kern w:val="0"/>
          <w:szCs w:val="24"/>
        </w:rPr>
      </w:pPr>
      <w:r>
        <w:rPr>
          <w:rFonts w:hint="eastAsia" w:ascii="宋体" w:hAnsi="宋体" w:cs="Times New Roman"/>
          <w:b/>
          <w:kern w:val="0"/>
          <w:szCs w:val="24"/>
          <w:lang w:val="en-US" w:eastAsia="zh-CN"/>
        </w:rPr>
        <w:t>3</w:t>
      </w:r>
      <w:r>
        <w:rPr>
          <w:rFonts w:ascii="宋体" w:hAnsi="宋体" w:cs="Times New Roman"/>
          <w:b/>
          <w:kern w:val="0"/>
          <w:szCs w:val="24"/>
        </w:rPr>
        <w:t>、</w:t>
      </w:r>
      <w:r>
        <w:rPr>
          <w:rFonts w:hint="eastAsia" w:ascii="宋体" w:hAnsi="宋体" w:cs="Times New Roman"/>
          <w:b/>
          <w:kern w:val="0"/>
          <w:szCs w:val="24"/>
        </w:rPr>
        <w:t>投标商在谈判前密封并提交以下文件：</w:t>
      </w:r>
    </w:p>
    <w:p>
      <w:pPr>
        <w:pStyle w:val="54"/>
        <w:ind w:firstLine="480" w:firstLineChars="200"/>
        <w:rPr>
          <w:rFonts w:hint="eastAsia" w:ascii="宋体" w:hAnsi="宋体" w:cs="Times New Roman"/>
          <w:kern w:val="0"/>
          <w:szCs w:val="24"/>
        </w:rPr>
      </w:pPr>
      <w:r>
        <w:rPr>
          <w:rFonts w:hint="eastAsia" w:ascii="宋体" w:hAnsi="宋体" w:cs="Times New Roman"/>
          <w:kern w:val="0"/>
          <w:szCs w:val="24"/>
        </w:rPr>
        <w:t>（1）、投标报价书加盖公司印章；</w:t>
      </w:r>
    </w:p>
    <w:p>
      <w:pPr>
        <w:pStyle w:val="54"/>
        <w:ind w:firstLine="480" w:firstLineChars="200"/>
        <w:rPr>
          <w:rFonts w:hint="eastAsia" w:ascii="宋体" w:hAnsi="宋体" w:cs="Times New Roman"/>
          <w:kern w:val="0"/>
          <w:szCs w:val="24"/>
        </w:rPr>
      </w:pPr>
      <w:r>
        <w:rPr>
          <w:rFonts w:hint="eastAsia" w:ascii="宋体" w:hAnsi="宋体" w:cs="Times New Roman"/>
          <w:kern w:val="0"/>
          <w:szCs w:val="24"/>
        </w:rPr>
        <w:t xml:space="preserve">（2）、投标报价书须密封递交至开标地点 </w:t>
      </w:r>
    </w:p>
    <w:p>
      <w:pPr>
        <w:pStyle w:val="54"/>
        <w:ind w:firstLine="480" w:firstLineChars="200"/>
        <w:rPr>
          <w:rFonts w:hint="eastAsia" w:ascii="宋体" w:hAnsi="宋体" w:cs="Times New Roman"/>
          <w:kern w:val="0"/>
          <w:szCs w:val="24"/>
        </w:rPr>
      </w:pPr>
      <w:r>
        <w:rPr>
          <w:rFonts w:hint="eastAsia" w:ascii="宋体" w:hAnsi="宋体" w:cs="Times New Roman"/>
          <w:kern w:val="0"/>
          <w:szCs w:val="24"/>
        </w:rPr>
        <w:t>（3）、投标文件应附相关质量及服务承诺。</w:t>
      </w:r>
    </w:p>
    <w:p>
      <w:pPr>
        <w:pStyle w:val="54"/>
        <w:ind w:firstLine="480" w:firstLineChars="200"/>
        <w:rPr>
          <w:rFonts w:hint="eastAsia" w:ascii="宋体" w:hAnsi="宋体" w:cs="Times New Roman"/>
          <w:kern w:val="0"/>
          <w:szCs w:val="24"/>
        </w:rPr>
      </w:pPr>
      <w:r>
        <w:rPr>
          <w:rFonts w:hint="eastAsia" w:ascii="宋体" w:hAnsi="宋体" w:cs="Times New Roman"/>
          <w:kern w:val="0"/>
          <w:szCs w:val="24"/>
        </w:rPr>
        <w:t>（4）、营业执照复印件，加盖公章。</w:t>
      </w:r>
    </w:p>
    <w:p>
      <w:pPr>
        <w:pStyle w:val="54"/>
        <w:ind w:firstLine="480" w:firstLineChars="200"/>
        <w:rPr>
          <w:rFonts w:hint="eastAsia" w:ascii="宋体" w:hAnsi="宋体" w:cs="Times New Roman"/>
          <w:kern w:val="0"/>
          <w:szCs w:val="24"/>
        </w:rPr>
      </w:pPr>
      <w:r>
        <w:rPr>
          <w:rFonts w:hint="eastAsia" w:ascii="宋体" w:hAnsi="宋体" w:cs="Times New Roman"/>
          <w:kern w:val="0"/>
          <w:szCs w:val="24"/>
        </w:rPr>
        <w:t>（5）、投标文件一正三副本。</w:t>
      </w:r>
    </w:p>
    <w:p>
      <w:pPr>
        <w:pStyle w:val="54"/>
        <w:ind w:firstLine="482" w:firstLineChars="200"/>
        <w:rPr>
          <w:rFonts w:hint="eastAsia" w:ascii="宋体" w:hAnsi="宋体" w:cs="Times New Roman"/>
          <w:b/>
          <w:kern w:val="0"/>
          <w:szCs w:val="24"/>
        </w:rPr>
      </w:pPr>
      <w:r>
        <w:rPr>
          <w:rFonts w:hint="eastAsia" w:ascii="宋体" w:hAnsi="宋体" w:cs="Times New Roman"/>
          <w:b/>
          <w:kern w:val="0"/>
          <w:szCs w:val="24"/>
          <w:lang w:val="en-US" w:eastAsia="zh-CN"/>
        </w:rPr>
        <w:t>4</w:t>
      </w:r>
      <w:r>
        <w:rPr>
          <w:rFonts w:hint="eastAsia" w:ascii="宋体" w:hAnsi="宋体" w:cs="Times New Roman"/>
          <w:b/>
          <w:kern w:val="0"/>
          <w:szCs w:val="24"/>
        </w:rPr>
        <w:t>、询价地点及时间：</w:t>
      </w:r>
    </w:p>
    <w:p>
      <w:pPr>
        <w:pStyle w:val="54"/>
        <w:ind w:firstLine="480" w:firstLineChars="200"/>
        <w:rPr>
          <w:rFonts w:ascii="宋体" w:hAnsi="宋体" w:cs="Times New Roman"/>
          <w:kern w:val="0"/>
          <w:szCs w:val="24"/>
        </w:rPr>
      </w:pPr>
      <w:r>
        <w:rPr>
          <w:rFonts w:hint="eastAsia" w:ascii="宋体" w:hAnsi="宋体" w:cs="Times New Roman"/>
          <w:kern w:val="0"/>
          <w:szCs w:val="24"/>
        </w:rPr>
        <w:t>地点：南京市江宁医院湖山路院区3号楼7楼（江宁区湖山路169号）</w:t>
      </w:r>
    </w:p>
    <w:p>
      <w:pPr>
        <w:pStyle w:val="54"/>
        <w:ind w:firstLine="480" w:firstLineChars="200"/>
        <w:rPr>
          <w:rFonts w:hint="eastAsia" w:ascii="宋体" w:hAnsi="宋体" w:cs="Times New Roman"/>
          <w:kern w:val="0"/>
          <w:szCs w:val="24"/>
        </w:rPr>
      </w:pPr>
      <w:r>
        <w:rPr>
          <w:rFonts w:ascii="宋体" w:hAnsi="宋体" w:cs="Times New Roman"/>
          <w:kern w:val="0"/>
          <w:szCs w:val="24"/>
        </w:rPr>
        <w:t>时间：</w:t>
      </w:r>
      <w:r>
        <w:rPr>
          <w:rFonts w:hint="eastAsia" w:ascii="宋体" w:hAnsi="宋体" w:cs="Times New Roman"/>
          <w:kern w:val="0"/>
          <w:szCs w:val="24"/>
        </w:rPr>
        <w:t>202</w:t>
      </w:r>
      <w:r>
        <w:rPr>
          <w:rFonts w:hint="eastAsia" w:ascii="宋体" w:hAnsi="宋体" w:cs="Times New Roman"/>
          <w:kern w:val="0"/>
          <w:szCs w:val="24"/>
          <w:lang w:val="en-US" w:eastAsia="zh-CN"/>
        </w:rPr>
        <w:t>1</w:t>
      </w:r>
      <w:r>
        <w:rPr>
          <w:rFonts w:ascii="宋体" w:hAnsi="宋体" w:cs="Times New Roman"/>
          <w:kern w:val="0"/>
          <w:szCs w:val="24"/>
        </w:rPr>
        <w:t>年</w:t>
      </w:r>
      <w:r>
        <w:rPr>
          <w:rFonts w:hint="eastAsia" w:ascii="宋体" w:hAnsi="宋体" w:cs="Times New Roman"/>
          <w:kern w:val="0"/>
          <w:szCs w:val="24"/>
        </w:rPr>
        <w:t xml:space="preserve"> </w:t>
      </w:r>
      <w:r>
        <w:rPr>
          <w:rFonts w:hint="eastAsia" w:ascii="宋体" w:hAnsi="宋体" w:cs="Times New Roman"/>
          <w:kern w:val="0"/>
          <w:szCs w:val="24"/>
          <w:lang w:val="en-US" w:eastAsia="zh-CN"/>
        </w:rPr>
        <w:t>1</w:t>
      </w:r>
      <w:r>
        <w:rPr>
          <w:rFonts w:hint="eastAsia" w:ascii="宋体" w:hAnsi="宋体" w:cs="Times New Roman"/>
          <w:kern w:val="0"/>
          <w:szCs w:val="24"/>
        </w:rPr>
        <w:t xml:space="preserve"> 月</w:t>
      </w:r>
      <w:r>
        <w:rPr>
          <w:rFonts w:hint="eastAsia" w:ascii="宋体" w:hAnsi="宋体" w:cs="Times New Roman"/>
          <w:kern w:val="0"/>
          <w:szCs w:val="24"/>
          <w:lang w:val="en-US" w:eastAsia="zh-CN"/>
        </w:rPr>
        <w:t>27</w:t>
      </w:r>
      <w:r>
        <w:rPr>
          <w:rFonts w:hint="eastAsia" w:ascii="宋体" w:hAnsi="宋体" w:cs="Times New Roman"/>
          <w:kern w:val="0"/>
          <w:szCs w:val="24"/>
        </w:rPr>
        <w:t xml:space="preserve"> </w:t>
      </w:r>
      <w:r>
        <w:rPr>
          <w:rFonts w:hint="eastAsia" w:ascii="宋体" w:hAnsi="宋体" w:cs="Times New Roman"/>
          <w:kern w:val="0"/>
          <w:szCs w:val="24"/>
          <w:lang w:val="en-US" w:eastAsia="zh-CN"/>
        </w:rPr>
        <w:t xml:space="preserve"> </w:t>
      </w:r>
      <w:r>
        <w:rPr>
          <w:rFonts w:hint="eastAsia" w:ascii="宋体" w:hAnsi="宋体" w:cs="Times New Roman"/>
          <w:kern w:val="0"/>
          <w:szCs w:val="24"/>
        </w:rPr>
        <w:t xml:space="preserve">号 </w:t>
      </w:r>
    </w:p>
    <w:p>
      <w:pPr>
        <w:pStyle w:val="54"/>
        <w:ind w:firstLine="482" w:firstLineChars="200"/>
        <w:rPr>
          <w:rFonts w:hint="eastAsia" w:ascii="宋体" w:hAnsi="宋体" w:cs="Times New Roman"/>
          <w:b/>
          <w:kern w:val="0"/>
          <w:szCs w:val="24"/>
        </w:rPr>
      </w:pPr>
      <w:r>
        <w:rPr>
          <w:rFonts w:hint="eastAsia" w:ascii="宋体" w:hAnsi="宋体" w:cs="Times New Roman"/>
          <w:b/>
          <w:kern w:val="0"/>
          <w:szCs w:val="24"/>
          <w:lang w:val="en-US" w:eastAsia="zh-CN"/>
        </w:rPr>
        <w:t>5</w:t>
      </w:r>
      <w:r>
        <w:rPr>
          <w:rFonts w:hint="eastAsia" w:ascii="宋体" w:hAnsi="宋体" w:cs="Times New Roman"/>
          <w:b/>
          <w:kern w:val="0"/>
          <w:szCs w:val="24"/>
        </w:rPr>
        <w:t>、通讯联络事宜：</w:t>
      </w:r>
    </w:p>
    <w:p>
      <w:pPr>
        <w:pStyle w:val="54"/>
        <w:ind w:firstLine="480" w:firstLineChars="200"/>
        <w:rPr>
          <w:rFonts w:hint="eastAsia" w:ascii="宋体" w:hAnsi="宋体" w:cs="Times New Roman"/>
          <w:kern w:val="0"/>
          <w:szCs w:val="24"/>
        </w:rPr>
      </w:pPr>
      <w:r>
        <w:rPr>
          <w:rFonts w:hint="eastAsia" w:ascii="宋体" w:hAnsi="宋体" w:cs="Times New Roman"/>
          <w:kern w:val="0"/>
          <w:szCs w:val="24"/>
        </w:rPr>
        <w:t xml:space="preserve">联系人：熊老师 </w:t>
      </w:r>
    </w:p>
    <w:p>
      <w:pPr>
        <w:pStyle w:val="54"/>
        <w:ind w:firstLine="480" w:firstLineChars="200"/>
        <w:rPr>
          <w:rFonts w:hint="eastAsia" w:ascii="宋体" w:hAnsi="宋体" w:cs="Times New Roman"/>
          <w:kern w:val="0"/>
          <w:szCs w:val="24"/>
        </w:rPr>
      </w:pPr>
      <w:r>
        <w:rPr>
          <w:rFonts w:hint="eastAsia" w:ascii="宋体" w:hAnsi="宋体" w:cs="Times New Roman"/>
          <w:kern w:val="0"/>
          <w:szCs w:val="24"/>
        </w:rPr>
        <w:t>电  话 ：13645153881</w:t>
      </w:r>
    </w:p>
    <w:p>
      <w:pPr>
        <w:rPr>
          <w:rFonts w:hint="eastAsia" w:ascii="宋体" w:hAnsi="宋体" w:eastAsia="宋体"/>
          <w:kern w:val="0"/>
          <w:szCs w:val="24"/>
        </w:rPr>
      </w:pPr>
    </w:p>
    <w:p>
      <w:pPr>
        <w:rPr>
          <w:rFonts w:ascii="宋体" w:hAnsi="宋体" w:eastAsia="宋体"/>
          <w:kern w:val="0"/>
          <w:szCs w:val="24"/>
        </w:rPr>
      </w:pPr>
    </w:p>
    <w:p>
      <w:pPr>
        <w:ind w:left="0" w:leftChars="0" w:firstLine="0" w:firstLineChars="0"/>
        <w:rPr>
          <w:rFonts w:ascii="宋体" w:hAnsi="宋体" w:eastAsia="宋体"/>
          <w:kern w:val="0"/>
          <w:szCs w:val="24"/>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p>
    <w:p>
      <w:pPr>
        <w:spacing w:line="480" w:lineRule="auto"/>
        <w:jc w:val="center"/>
        <w:outlineLvl w:val="0"/>
        <w:rPr>
          <w:rFonts w:hint="eastAsia" w:ascii="宋体" w:hAnsi="宋体" w:eastAsia="宋体"/>
          <w:b/>
          <w:kern w:val="0"/>
          <w:sz w:val="44"/>
          <w:szCs w:val="44"/>
        </w:rPr>
      </w:pPr>
      <w:r>
        <w:rPr>
          <w:rFonts w:hint="eastAsia" w:ascii="宋体" w:hAnsi="宋体" w:eastAsia="宋体"/>
          <w:b/>
          <w:kern w:val="0"/>
          <w:sz w:val="44"/>
          <w:szCs w:val="44"/>
          <w:lang w:val="en-US" w:eastAsia="zh-CN"/>
        </w:rPr>
        <w:t>第三章</w:t>
      </w:r>
      <w:r>
        <w:rPr>
          <w:rFonts w:hint="eastAsia" w:ascii="宋体" w:hAnsi="宋体"/>
          <w:b/>
          <w:kern w:val="0"/>
          <w:sz w:val="44"/>
          <w:szCs w:val="44"/>
          <w:lang w:val="en-US" w:eastAsia="zh-CN"/>
        </w:rPr>
        <w:t xml:space="preserve"> </w:t>
      </w:r>
      <w:r>
        <w:rPr>
          <w:rFonts w:hint="eastAsia" w:ascii="宋体" w:hAnsi="宋体" w:eastAsia="宋体"/>
          <w:b/>
          <w:kern w:val="0"/>
          <w:sz w:val="44"/>
          <w:szCs w:val="44"/>
        </w:rPr>
        <w:t>产品技术参数指标</w:t>
      </w:r>
    </w:p>
    <w:p>
      <w:pPr>
        <w:bidi w:val="0"/>
        <w:rPr>
          <w:rFonts w:hint="eastAsia"/>
        </w:rPr>
      </w:pPr>
      <w:r>
        <w:rPr>
          <w:rFonts w:hint="eastAsia"/>
        </w:rPr>
        <w:t>外形美观、界面友好、功能全面、操作方便、响应快捷、系统稳定、故障率低。厂家提供自助机需包含内部所有硬件设备，硬件设备需能满足医院及患者实际需求，硬件规格型号需支持省内医疗信息行业各类对接的最新标准。</w:t>
      </w:r>
    </w:p>
    <w:p>
      <w:pPr>
        <w:pStyle w:val="9"/>
        <w:numPr>
          <w:ilvl w:val="0"/>
          <w:numId w:val="3"/>
        </w:numPr>
        <w:rPr>
          <w:rFonts w:hint="eastAsia" w:ascii="宋体" w:hAnsi="宋体" w:cs="宋体"/>
          <w:b w:val="0"/>
          <w:szCs w:val="24"/>
          <w:lang w:val="en-US" w:eastAsia="zh-CN"/>
        </w:rPr>
      </w:pPr>
      <w:r>
        <w:rPr>
          <w:rFonts w:hint="eastAsia" w:ascii="宋体" w:hAnsi="宋体" w:cs="宋体"/>
          <w:b w:val="0"/>
          <w:szCs w:val="24"/>
          <w:lang w:val="en-US" w:eastAsia="zh-CN"/>
        </w:rPr>
        <w:t>参数要求：</w:t>
      </w:r>
    </w:p>
    <w:tbl>
      <w:tblPr>
        <w:tblStyle w:val="32"/>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235"/>
        <w:gridCol w:w="1612"/>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54" w:type="dxa"/>
            <w:gridSpan w:val="3"/>
            <w:tcBorders>
              <w:tl2br w:val="nil"/>
              <w:tr2bl w:val="nil"/>
            </w:tcBorders>
            <w:vAlign w:val="center"/>
          </w:tcPr>
          <w:p>
            <w:pPr>
              <w:spacing w:line="240" w:lineRule="auto"/>
              <w:rPr>
                <w:sz w:val="21"/>
                <w:szCs w:val="21"/>
              </w:rPr>
            </w:pPr>
            <w:r>
              <w:rPr>
                <w:rFonts w:hint="eastAsia"/>
                <w:sz w:val="21"/>
                <w:szCs w:val="21"/>
              </w:rPr>
              <w:t>模块</w:t>
            </w:r>
          </w:p>
        </w:tc>
        <w:tc>
          <w:tcPr>
            <w:tcW w:w="5923" w:type="dxa"/>
            <w:tcBorders>
              <w:tl2br w:val="nil"/>
              <w:tr2bl w:val="nil"/>
            </w:tcBorders>
            <w:vAlign w:val="center"/>
          </w:tcPr>
          <w:p>
            <w:pPr>
              <w:spacing w:line="240" w:lineRule="auto"/>
              <w:rPr>
                <w:sz w:val="21"/>
                <w:szCs w:val="21"/>
              </w:rPr>
            </w:pPr>
            <w:r>
              <w:rPr>
                <w:rFonts w:hint="eastAsia"/>
                <w:sz w:val="21"/>
                <w:szCs w:val="21"/>
              </w:rPr>
              <w:t>技术规格(至少满足以下配置)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07" w:type="dxa"/>
            <w:tcBorders>
              <w:tl2br w:val="nil"/>
              <w:tr2bl w:val="nil"/>
            </w:tcBorders>
            <w:shd w:val="clear" w:color="auto" w:fill="auto"/>
          </w:tcPr>
          <w:p>
            <w:pPr>
              <w:numPr>
                <w:ilvl w:val="0"/>
                <w:numId w:val="4"/>
              </w:numPr>
              <w:spacing w:line="240" w:lineRule="auto"/>
              <w:rPr>
                <w:sz w:val="21"/>
                <w:szCs w:val="21"/>
              </w:rPr>
            </w:pPr>
            <w:r>
              <w:rPr>
                <w:rFonts w:hint="eastAsia"/>
                <w:sz w:val="21"/>
                <w:szCs w:val="21"/>
                <w:lang w:val="en-US" w:eastAsia="zh-CN"/>
              </w:rPr>
              <w:t xml:space="preserve">  1</w:t>
            </w:r>
          </w:p>
        </w:tc>
        <w:tc>
          <w:tcPr>
            <w:tcW w:w="1235" w:type="dxa"/>
            <w:tcBorders>
              <w:tl2br w:val="nil"/>
              <w:tr2bl w:val="nil"/>
            </w:tcBorders>
            <w:shd w:val="clear" w:color="auto" w:fill="auto"/>
            <w:vAlign w:val="center"/>
          </w:tcPr>
          <w:p>
            <w:pPr>
              <w:spacing w:line="240" w:lineRule="auto"/>
              <w:ind w:left="0" w:leftChars="0" w:firstLine="0" w:firstLineChars="0"/>
              <w:rPr>
                <w:sz w:val="21"/>
                <w:szCs w:val="21"/>
              </w:rPr>
            </w:pPr>
            <w:r>
              <w:rPr>
                <w:rFonts w:hint="eastAsia"/>
                <w:sz w:val="21"/>
                <w:szCs w:val="21"/>
              </w:rPr>
              <w:t>主控模块</w:t>
            </w:r>
          </w:p>
        </w:tc>
        <w:tc>
          <w:tcPr>
            <w:tcW w:w="1612" w:type="dxa"/>
            <w:tcBorders>
              <w:tl2br w:val="nil"/>
              <w:tr2bl w:val="nil"/>
            </w:tcBorders>
            <w:shd w:val="clear" w:color="auto" w:fill="auto"/>
            <w:vAlign w:val="center"/>
          </w:tcPr>
          <w:p>
            <w:pPr>
              <w:spacing w:line="240" w:lineRule="auto"/>
              <w:ind w:left="0" w:leftChars="0" w:firstLine="0" w:firstLineChars="0"/>
              <w:rPr>
                <w:sz w:val="21"/>
                <w:szCs w:val="21"/>
              </w:rPr>
            </w:pPr>
            <w:r>
              <w:rPr>
                <w:rFonts w:hint="eastAsia"/>
                <w:sz w:val="21"/>
                <w:szCs w:val="21"/>
              </w:rPr>
              <w:t>工控主板</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Intel CPU，主频2.0GHz，四核；内存DDR3，4G；HDD 500G或SSD120G；4个USB2.0接口；4个RS232串行接口；1个并行接口；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07" w:type="dxa"/>
            <w:tcBorders>
              <w:tl2br w:val="nil"/>
              <w:tr2bl w:val="nil"/>
            </w:tcBorders>
          </w:tcPr>
          <w:p>
            <w:pPr>
              <w:numPr>
                <w:ilvl w:val="0"/>
                <w:numId w:val="4"/>
              </w:numPr>
              <w:spacing w:line="240" w:lineRule="auto"/>
              <w:rPr>
                <w:sz w:val="21"/>
                <w:szCs w:val="21"/>
              </w:rPr>
            </w:pPr>
            <w:r>
              <w:rPr>
                <w:rFonts w:hint="eastAsia"/>
                <w:sz w:val="21"/>
                <w:szCs w:val="21"/>
                <w:lang w:val="en-US" w:eastAsia="zh-CN"/>
              </w:rPr>
              <w:t xml:space="preserve">   </w:t>
            </w:r>
          </w:p>
        </w:tc>
        <w:tc>
          <w:tcPr>
            <w:tcW w:w="1235" w:type="dxa"/>
            <w:tcBorders>
              <w:tl2br w:val="nil"/>
              <w:tr2bl w:val="nil"/>
            </w:tcBorders>
            <w:vAlign w:val="center"/>
          </w:tcPr>
          <w:p>
            <w:pPr>
              <w:spacing w:line="240" w:lineRule="auto"/>
              <w:ind w:left="0" w:leftChars="0" w:firstLine="0" w:firstLineChars="0"/>
              <w:rPr>
                <w:sz w:val="21"/>
                <w:szCs w:val="21"/>
              </w:rPr>
            </w:pPr>
            <w:r>
              <w:rPr>
                <w:rFonts w:hint="eastAsia"/>
                <w:sz w:val="21"/>
                <w:szCs w:val="21"/>
              </w:rPr>
              <w:t>显示模块</w:t>
            </w:r>
          </w:p>
        </w:tc>
        <w:tc>
          <w:tcPr>
            <w:tcW w:w="1612" w:type="dxa"/>
            <w:tcBorders>
              <w:tl2br w:val="nil"/>
              <w:tr2bl w:val="nil"/>
            </w:tcBorders>
            <w:vAlign w:val="center"/>
          </w:tcPr>
          <w:p>
            <w:pPr>
              <w:spacing w:line="240" w:lineRule="auto"/>
              <w:ind w:left="0" w:leftChars="0" w:firstLine="0" w:firstLineChars="0"/>
              <w:rPr>
                <w:sz w:val="21"/>
                <w:szCs w:val="21"/>
              </w:rPr>
            </w:pPr>
            <w:r>
              <w:rPr>
                <w:rFonts w:hint="eastAsia"/>
                <w:sz w:val="21"/>
                <w:szCs w:val="21"/>
              </w:rPr>
              <w:t>液晶显示器</w:t>
            </w:r>
          </w:p>
        </w:tc>
        <w:tc>
          <w:tcPr>
            <w:tcW w:w="5923" w:type="dxa"/>
            <w:tcBorders>
              <w:tl2br w:val="nil"/>
              <w:tr2bl w:val="nil"/>
            </w:tcBorders>
            <w:vAlign w:val="center"/>
          </w:tcPr>
          <w:p>
            <w:pPr>
              <w:spacing w:line="240" w:lineRule="auto"/>
              <w:rPr>
                <w:sz w:val="21"/>
                <w:szCs w:val="21"/>
              </w:rPr>
            </w:pPr>
            <w:r>
              <w:rPr>
                <w:rFonts w:hint="eastAsia"/>
                <w:sz w:val="21"/>
                <w:szCs w:val="21"/>
              </w:rPr>
              <w:t>17寸及以上，工业级液晶屏；高色彩饱和度，可视角度（左/右/上/下）: 85/85/80/80（Typ.)(CR≥10)分辨率：1280*1024及以上；亮度：250(cd/m2)；对比度：1000：1；响应时间：5ms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07" w:type="dxa"/>
            <w:tcBorders>
              <w:tl2br w:val="nil"/>
              <w:tr2bl w:val="nil"/>
            </w:tcBorders>
            <w:shd w:val="clear" w:color="000000" w:fill="FFFFFF"/>
          </w:tcPr>
          <w:p>
            <w:pPr>
              <w:numPr>
                <w:ilvl w:val="0"/>
                <w:numId w:val="4"/>
              </w:numPr>
              <w:spacing w:line="240" w:lineRule="auto"/>
              <w:rPr>
                <w:sz w:val="21"/>
                <w:szCs w:val="21"/>
              </w:rPr>
            </w:pPr>
          </w:p>
        </w:tc>
        <w:tc>
          <w:tcPr>
            <w:tcW w:w="1235" w:type="dxa"/>
            <w:tcBorders>
              <w:tl2br w:val="nil"/>
              <w:tr2bl w:val="nil"/>
            </w:tcBorders>
            <w:shd w:val="clear" w:color="000000" w:fill="FFFFFF"/>
            <w:vAlign w:val="center"/>
          </w:tcPr>
          <w:p>
            <w:pPr>
              <w:spacing w:line="240" w:lineRule="auto"/>
              <w:ind w:left="0" w:leftChars="0" w:firstLine="0" w:firstLineChars="0"/>
              <w:rPr>
                <w:sz w:val="21"/>
                <w:szCs w:val="21"/>
              </w:rPr>
            </w:pPr>
            <w:r>
              <w:rPr>
                <w:rFonts w:hint="eastAsia"/>
                <w:sz w:val="21"/>
                <w:szCs w:val="21"/>
              </w:rPr>
              <w:t>触控输入模块</w:t>
            </w:r>
          </w:p>
        </w:tc>
        <w:tc>
          <w:tcPr>
            <w:tcW w:w="1612" w:type="dxa"/>
            <w:tcBorders>
              <w:tl2br w:val="nil"/>
              <w:tr2bl w:val="nil"/>
            </w:tcBorders>
            <w:shd w:val="clear" w:color="000000" w:fill="FFFFFF"/>
            <w:vAlign w:val="center"/>
          </w:tcPr>
          <w:p>
            <w:pPr>
              <w:spacing w:line="240" w:lineRule="auto"/>
              <w:rPr>
                <w:sz w:val="21"/>
                <w:szCs w:val="21"/>
              </w:rPr>
            </w:pPr>
            <w:r>
              <w:rPr>
                <w:rFonts w:hint="eastAsia"/>
                <w:sz w:val="21"/>
                <w:szCs w:val="21"/>
              </w:rPr>
              <w:t>触控屏</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17寸及以上电容触摸屏；最小触摸物体直径：1mm；响应速度：5ms；触点储量：≥10；防水防爆，耐划伤、耐磨、无飘移、防清洁剂腐蚀、防爆性好；左右15度防窥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7" w:type="dxa"/>
            <w:tcBorders>
              <w:tl2br w:val="nil"/>
              <w:tr2bl w:val="nil"/>
            </w:tcBorders>
            <w:shd w:val="clear" w:color="auto" w:fill="auto"/>
          </w:tcPr>
          <w:p>
            <w:pPr>
              <w:numPr>
                <w:ilvl w:val="0"/>
                <w:numId w:val="4"/>
              </w:numPr>
              <w:spacing w:line="240" w:lineRule="auto"/>
              <w:rPr>
                <w:sz w:val="21"/>
                <w:szCs w:val="21"/>
              </w:rPr>
            </w:pPr>
          </w:p>
        </w:tc>
        <w:tc>
          <w:tcPr>
            <w:tcW w:w="1235" w:type="dxa"/>
            <w:tcBorders>
              <w:tl2br w:val="nil"/>
              <w:tr2bl w:val="nil"/>
            </w:tcBorders>
            <w:shd w:val="clear" w:color="auto" w:fill="auto"/>
            <w:vAlign w:val="center"/>
          </w:tcPr>
          <w:p>
            <w:pPr>
              <w:spacing w:line="240" w:lineRule="auto"/>
              <w:ind w:left="0" w:leftChars="0" w:firstLine="0" w:firstLineChars="0"/>
              <w:rPr>
                <w:sz w:val="21"/>
                <w:szCs w:val="21"/>
              </w:rPr>
            </w:pPr>
            <w:r>
              <w:rPr>
                <w:rFonts w:hint="eastAsia"/>
                <w:sz w:val="21"/>
                <w:szCs w:val="21"/>
              </w:rPr>
              <w:t>专用卡</w:t>
            </w:r>
          </w:p>
          <w:p>
            <w:pPr>
              <w:spacing w:line="240" w:lineRule="auto"/>
              <w:ind w:left="0" w:leftChars="0" w:firstLine="0" w:firstLineChars="0"/>
              <w:rPr>
                <w:sz w:val="21"/>
                <w:szCs w:val="21"/>
              </w:rPr>
            </w:pPr>
            <w:r>
              <w:rPr>
                <w:rFonts w:hint="eastAsia"/>
                <w:sz w:val="21"/>
                <w:szCs w:val="21"/>
              </w:rPr>
              <w:t>读卡模块</w:t>
            </w:r>
          </w:p>
        </w:tc>
        <w:tc>
          <w:tcPr>
            <w:tcW w:w="1612" w:type="dxa"/>
            <w:tcBorders>
              <w:tl2br w:val="nil"/>
              <w:tr2bl w:val="nil"/>
            </w:tcBorders>
            <w:shd w:val="clear" w:color="000000" w:fill="FFFFFF"/>
            <w:vAlign w:val="center"/>
          </w:tcPr>
          <w:p>
            <w:pPr>
              <w:spacing w:line="240" w:lineRule="auto"/>
              <w:ind w:left="0" w:leftChars="0" w:firstLine="0" w:firstLineChars="0"/>
              <w:rPr>
                <w:sz w:val="21"/>
                <w:szCs w:val="21"/>
              </w:rPr>
            </w:pPr>
            <w:r>
              <w:rPr>
                <w:rFonts w:hint="eastAsia"/>
                <w:sz w:val="21"/>
                <w:szCs w:val="21"/>
              </w:rPr>
              <w:t>市民卡读卡器</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支持南京市市民卡C卡，通过RF射频读卡；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dxa"/>
            <w:tcBorders>
              <w:tl2br w:val="nil"/>
              <w:tr2bl w:val="nil"/>
            </w:tcBorders>
            <w:shd w:val="clear" w:color="000000" w:fill="FFFFFF"/>
          </w:tcPr>
          <w:p>
            <w:pPr>
              <w:numPr>
                <w:ilvl w:val="0"/>
                <w:numId w:val="4"/>
              </w:numPr>
              <w:spacing w:line="240" w:lineRule="auto"/>
              <w:rPr>
                <w:sz w:val="21"/>
                <w:szCs w:val="21"/>
              </w:rPr>
            </w:pPr>
          </w:p>
        </w:tc>
        <w:tc>
          <w:tcPr>
            <w:tcW w:w="1235" w:type="dxa"/>
            <w:tcBorders>
              <w:tl2br w:val="nil"/>
              <w:tr2bl w:val="nil"/>
            </w:tcBorders>
            <w:shd w:val="clear" w:color="000000" w:fill="FFFFFF"/>
            <w:vAlign w:val="center"/>
          </w:tcPr>
          <w:p>
            <w:pPr>
              <w:spacing w:line="240" w:lineRule="auto"/>
              <w:ind w:left="0" w:leftChars="0" w:firstLine="0" w:firstLineChars="0"/>
              <w:rPr>
                <w:sz w:val="21"/>
                <w:szCs w:val="21"/>
              </w:rPr>
            </w:pPr>
            <w:r>
              <w:rPr>
                <w:rFonts w:hint="eastAsia"/>
                <w:sz w:val="21"/>
                <w:szCs w:val="21"/>
              </w:rPr>
              <w:t>输入模块</w:t>
            </w:r>
          </w:p>
        </w:tc>
        <w:tc>
          <w:tcPr>
            <w:tcW w:w="1612" w:type="dxa"/>
            <w:tcBorders>
              <w:tl2br w:val="nil"/>
              <w:tr2bl w:val="nil"/>
            </w:tcBorders>
            <w:shd w:val="clear" w:color="000000" w:fill="FFFFFF"/>
            <w:vAlign w:val="center"/>
          </w:tcPr>
          <w:p>
            <w:pPr>
              <w:spacing w:line="240" w:lineRule="auto"/>
              <w:ind w:left="0" w:leftChars="0" w:firstLine="0" w:firstLineChars="0"/>
              <w:rPr>
                <w:sz w:val="21"/>
                <w:szCs w:val="21"/>
              </w:rPr>
            </w:pPr>
            <w:r>
              <w:rPr>
                <w:rFonts w:hint="eastAsia"/>
                <w:sz w:val="21"/>
                <w:szCs w:val="21"/>
              </w:rPr>
              <w:t>条码扫描器</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 xml:space="preserve">激光多线全自动扫描器，支持各种一维条码、二维条码，扫描速度≥1500次/秒；支持纸质和手机屏幕的扫码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7" w:type="dxa"/>
            <w:tcBorders>
              <w:tl2br w:val="nil"/>
              <w:tr2bl w:val="nil"/>
            </w:tcBorders>
          </w:tcPr>
          <w:p>
            <w:pPr>
              <w:numPr>
                <w:ilvl w:val="0"/>
                <w:numId w:val="4"/>
              </w:numPr>
              <w:spacing w:line="240" w:lineRule="auto"/>
              <w:rPr>
                <w:sz w:val="21"/>
                <w:szCs w:val="21"/>
              </w:rPr>
            </w:pPr>
          </w:p>
        </w:tc>
        <w:tc>
          <w:tcPr>
            <w:tcW w:w="1235" w:type="dxa"/>
            <w:tcBorders>
              <w:tl2br w:val="nil"/>
              <w:tr2bl w:val="nil"/>
            </w:tcBorders>
            <w:vAlign w:val="center"/>
          </w:tcPr>
          <w:p>
            <w:pPr>
              <w:spacing w:line="240" w:lineRule="auto"/>
              <w:ind w:left="0" w:leftChars="0" w:firstLine="0" w:firstLineChars="0"/>
              <w:rPr>
                <w:sz w:val="21"/>
                <w:szCs w:val="21"/>
              </w:rPr>
            </w:pPr>
            <w:r>
              <w:rPr>
                <w:rFonts w:hint="eastAsia"/>
                <w:sz w:val="21"/>
                <w:szCs w:val="21"/>
              </w:rPr>
              <w:t>打印模块</w:t>
            </w:r>
          </w:p>
        </w:tc>
        <w:tc>
          <w:tcPr>
            <w:tcW w:w="1612" w:type="dxa"/>
            <w:tcBorders>
              <w:tl2br w:val="nil"/>
              <w:tr2bl w:val="nil"/>
            </w:tcBorders>
            <w:vAlign w:val="center"/>
          </w:tcPr>
          <w:p>
            <w:pPr>
              <w:spacing w:line="240" w:lineRule="auto"/>
              <w:ind w:left="0" w:leftChars="0" w:firstLine="0" w:firstLineChars="0"/>
              <w:rPr>
                <w:sz w:val="21"/>
                <w:szCs w:val="21"/>
              </w:rPr>
            </w:pPr>
            <w:r>
              <w:rPr>
                <w:rFonts w:hint="eastAsia"/>
                <w:sz w:val="21"/>
                <w:szCs w:val="21"/>
              </w:rPr>
              <w:t>激光打印机</w:t>
            </w:r>
          </w:p>
        </w:tc>
        <w:tc>
          <w:tcPr>
            <w:tcW w:w="5923" w:type="dxa"/>
            <w:tcBorders>
              <w:tl2br w:val="nil"/>
              <w:tr2bl w:val="nil"/>
            </w:tcBorders>
            <w:vAlign w:val="center"/>
          </w:tcPr>
          <w:p>
            <w:pPr>
              <w:spacing w:line="240" w:lineRule="auto"/>
              <w:rPr>
                <w:sz w:val="21"/>
                <w:szCs w:val="21"/>
              </w:rPr>
            </w:pPr>
            <w:r>
              <w:rPr>
                <w:rFonts w:hint="eastAsia"/>
                <w:sz w:val="21"/>
                <w:szCs w:val="21"/>
              </w:rPr>
              <w:t>黑白打印机，首页输出&lt;10S；打印速度≥20ppm； A4,B5,A5,等；纸张容量≥250页，具体型号以医院要求为准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7" w:type="dxa"/>
            <w:tcBorders>
              <w:tl2br w:val="nil"/>
              <w:tr2bl w:val="nil"/>
            </w:tcBorders>
            <w:shd w:val="clear" w:color="000000" w:fill="FFFFFF"/>
          </w:tcPr>
          <w:p>
            <w:pPr>
              <w:numPr>
                <w:ilvl w:val="0"/>
                <w:numId w:val="4"/>
              </w:numPr>
              <w:spacing w:line="240" w:lineRule="auto"/>
              <w:rPr>
                <w:sz w:val="21"/>
                <w:szCs w:val="21"/>
              </w:rPr>
            </w:pPr>
          </w:p>
        </w:tc>
        <w:tc>
          <w:tcPr>
            <w:tcW w:w="1235" w:type="dxa"/>
            <w:tcBorders>
              <w:tl2br w:val="nil"/>
              <w:tr2bl w:val="nil"/>
            </w:tcBorders>
            <w:shd w:val="clear" w:color="000000" w:fill="FFFFFF"/>
            <w:vAlign w:val="center"/>
          </w:tcPr>
          <w:p>
            <w:pPr>
              <w:spacing w:line="240" w:lineRule="auto"/>
              <w:ind w:left="0" w:leftChars="0" w:firstLine="0" w:firstLineChars="0"/>
              <w:rPr>
                <w:sz w:val="21"/>
                <w:szCs w:val="21"/>
              </w:rPr>
            </w:pPr>
            <w:r>
              <w:rPr>
                <w:rFonts w:hint="eastAsia"/>
                <w:sz w:val="21"/>
                <w:szCs w:val="21"/>
              </w:rPr>
              <w:t>供电模块　</w:t>
            </w:r>
          </w:p>
        </w:tc>
        <w:tc>
          <w:tcPr>
            <w:tcW w:w="1612" w:type="dxa"/>
            <w:tcBorders>
              <w:tl2br w:val="nil"/>
              <w:tr2bl w:val="nil"/>
            </w:tcBorders>
            <w:shd w:val="clear" w:color="000000" w:fill="FFFFFF"/>
            <w:vAlign w:val="center"/>
          </w:tcPr>
          <w:p>
            <w:pPr>
              <w:spacing w:line="240" w:lineRule="auto"/>
              <w:ind w:left="0" w:leftChars="0" w:firstLine="0" w:firstLineChars="0"/>
              <w:rPr>
                <w:sz w:val="21"/>
                <w:szCs w:val="21"/>
              </w:rPr>
            </w:pPr>
            <w:r>
              <w:rPr>
                <w:rFonts w:hint="eastAsia"/>
                <w:sz w:val="21"/>
                <w:szCs w:val="21"/>
              </w:rPr>
              <w:t>普通电源</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输入：220V交流输入；输出： 4路12V输出、4路24v输出；功率：200W直流输出；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7" w:type="dxa"/>
            <w:tcBorders>
              <w:tl2br w:val="nil"/>
              <w:tr2bl w:val="nil"/>
            </w:tcBorders>
            <w:shd w:val="clear" w:color="auto" w:fill="auto"/>
          </w:tcPr>
          <w:p>
            <w:pPr>
              <w:numPr>
                <w:ilvl w:val="0"/>
                <w:numId w:val="4"/>
              </w:numPr>
              <w:spacing w:line="240" w:lineRule="auto"/>
              <w:rPr>
                <w:sz w:val="21"/>
                <w:szCs w:val="21"/>
              </w:rPr>
            </w:pPr>
          </w:p>
        </w:tc>
        <w:tc>
          <w:tcPr>
            <w:tcW w:w="1235" w:type="dxa"/>
            <w:vMerge w:val="restart"/>
            <w:tcBorders>
              <w:tl2br w:val="nil"/>
              <w:tr2bl w:val="nil"/>
            </w:tcBorders>
            <w:shd w:val="clear" w:color="auto" w:fill="auto"/>
            <w:vAlign w:val="center"/>
          </w:tcPr>
          <w:p>
            <w:pPr>
              <w:spacing w:line="240" w:lineRule="auto"/>
              <w:ind w:left="0" w:leftChars="0" w:firstLine="0" w:firstLineChars="0"/>
              <w:rPr>
                <w:sz w:val="21"/>
                <w:szCs w:val="21"/>
              </w:rPr>
            </w:pPr>
            <w:r>
              <w:rPr>
                <w:rFonts w:hint="eastAsia"/>
                <w:sz w:val="21"/>
                <w:szCs w:val="21"/>
              </w:rPr>
              <w:t>辅助模块</w:t>
            </w:r>
          </w:p>
        </w:tc>
        <w:tc>
          <w:tcPr>
            <w:tcW w:w="1612" w:type="dxa"/>
            <w:tcBorders>
              <w:tl2br w:val="nil"/>
              <w:tr2bl w:val="nil"/>
            </w:tcBorders>
            <w:shd w:val="clear" w:color="auto" w:fill="auto"/>
            <w:vAlign w:val="center"/>
          </w:tcPr>
          <w:p>
            <w:pPr>
              <w:spacing w:line="240" w:lineRule="auto"/>
              <w:rPr>
                <w:sz w:val="21"/>
                <w:szCs w:val="21"/>
              </w:rPr>
            </w:pPr>
            <w:r>
              <w:rPr>
                <w:rFonts w:hint="eastAsia"/>
                <w:sz w:val="21"/>
                <w:szCs w:val="21"/>
              </w:rPr>
              <w:t>音响</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功放音响，音量调节旋钮，Reset按钮，频响范围：100Hz-20KHz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07" w:type="dxa"/>
            <w:tcBorders>
              <w:tl2br w:val="nil"/>
              <w:tr2bl w:val="nil"/>
            </w:tcBorders>
            <w:shd w:val="clear" w:color="auto" w:fill="auto"/>
          </w:tcPr>
          <w:p>
            <w:pPr>
              <w:numPr>
                <w:ilvl w:val="0"/>
                <w:numId w:val="4"/>
              </w:numPr>
              <w:spacing w:line="240" w:lineRule="auto"/>
              <w:rPr>
                <w:sz w:val="21"/>
                <w:szCs w:val="21"/>
              </w:rPr>
            </w:pPr>
          </w:p>
        </w:tc>
        <w:tc>
          <w:tcPr>
            <w:tcW w:w="1235" w:type="dxa"/>
            <w:vMerge w:val="continue"/>
            <w:tcBorders>
              <w:tl2br w:val="nil"/>
              <w:tr2bl w:val="nil"/>
            </w:tcBorders>
            <w:shd w:val="clear" w:color="auto" w:fill="auto"/>
            <w:vAlign w:val="center"/>
          </w:tcPr>
          <w:p>
            <w:pPr>
              <w:spacing w:line="240" w:lineRule="auto"/>
              <w:rPr>
                <w:sz w:val="21"/>
                <w:szCs w:val="21"/>
              </w:rPr>
            </w:pPr>
          </w:p>
        </w:tc>
        <w:tc>
          <w:tcPr>
            <w:tcW w:w="1612" w:type="dxa"/>
            <w:tcBorders>
              <w:tl2br w:val="nil"/>
              <w:tr2bl w:val="nil"/>
            </w:tcBorders>
            <w:shd w:val="clear" w:color="000000" w:fill="FFFFFF"/>
            <w:vAlign w:val="center"/>
          </w:tcPr>
          <w:p>
            <w:pPr>
              <w:spacing w:line="240" w:lineRule="auto"/>
              <w:rPr>
                <w:sz w:val="21"/>
                <w:szCs w:val="21"/>
              </w:rPr>
            </w:pPr>
            <w:r>
              <w:rPr>
                <w:rFonts w:hint="eastAsia"/>
                <w:sz w:val="21"/>
                <w:szCs w:val="21"/>
              </w:rPr>
              <w:t>配件</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指示灯：当用户在使用终端机器的时候要插卡、打印等操作时指示灯会闪烁提示引导用户更直观的完成操作；集成显卡和声卡；1000M网卡；各类连接线材；电源排插；机柜锁钥等；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07" w:type="dxa"/>
            <w:tcBorders>
              <w:tl2br w:val="nil"/>
              <w:tr2bl w:val="nil"/>
            </w:tcBorders>
            <w:shd w:val="clear" w:color="auto" w:fill="auto"/>
          </w:tcPr>
          <w:p>
            <w:pPr>
              <w:numPr>
                <w:ilvl w:val="0"/>
                <w:numId w:val="4"/>
              </w:numPr>
              <w:spacing w:line="240" w:lineRule="auto"/>
              <w:rPr>
                <w:sz w:val="21"/>
                <w:szCs w:val="21"/>
              </w:rPr>
            </w:pPr>
          </w:p>
        </w:tc>
        <w:tc>
          <w:tcPr>
            <w:tcW w:w="1235" w:type="dxa"/>
            <w:vMerge w:val="continue"/>
            <w:tcBorders>
              <w:tl2br w:val="nil"/>
              <w:tr2bl w:val="nil"/>
            </w:tcBorders>
            <w:shd w:val="clear" w:color="auto" w:fill="auto"/>
            <w:vAlign w:val="center"/>
          </w:tcPr>
          <w:p>
            <w:pPr>
              <w:spacing w:line="240" w:lineRule="auto"/>
              <w:rPr>
                <w:sz w:val="21"/>
                <w:szCs w:val="21"/>
              </w:rPr>
            </w:pPr>
          </w:p>
        </w:tc>
        <w:tc>
          <w:tcPr>
            <w:tcW w:w="1612" w:type="dxa"/>
            <w:tcBorders>
              <w:tl2br w:val="nil"/>
              <w:tr2bl w:val="nil"/>
            </w:tcBorders>
            <w:shd w:val="clear" w:color="000000" w:fill="FFFFFF"/>
            <w:vAlign w:val="center"/>
          </w:tcPr>
          <w:p>
            <w:pPr>
              <w:spacing w:line="240" w:lineRule="auto"/>
              <w:rPr>
                <w:sz w:val="21"/>
                <w:szCs w:val="21"/>
              </w:rPr>
            </w:pPr>
            <w:r>
              <w:rPr>
                <w:rFonts w:hint="eastAsia"/>
                <w:sz w:val="21"/>
                <w:szCs w:val="21"/>
              </w:rPr>
              <w:t>机柜</w:t>
            </w:r>
          </w:p>
        </w:tc>
        <w:tc>
          <w:tcPr>
            <w:tcW w:w="5923" w:type="dxa"/>
            <w:tcBorders>
              <w:tl2br w:val="nil"/>
              <w:tr2bl w:val="nil"/>
            </w:tcBorders>
            <w:shd w:val="clear" w:color="000000" w:fill="FFFFFF"/>
            <w:vAlign w:val="center"/>
          </w:tcPr>
          <w:p>
            <w:pPr>
              <w:spacing w:line="240" w:lineRule="auto"/>
              <w:rPr>
                <w:sz w:val="21"/>
                <w:szCs w:val="21"/>
              </w:rPr>
            </w:pPr>
            <w:r>
              <w:rPr>
                <w:rFonts w:hint="eastAsia"/>
                <w:sz w:val="21"/>
                <w:szCs w:val="21"/>
              </w:rPr>
              <w:t>钢制柜体，钢板厚度≥1.5mm，防磁、防水、防锈、抗腐蚀、防静电、防尘、固定支架,电源排插；柜门密闭性能良好，晃动情况下金属碰撞声音小。机柜采用前门维护，方便维护</w:t>
            </w:r>
          </w:p>
        </w:tc>
      </w:tr>
    </w:tbl>
    <w:p>
      <w:pPr>
        <w:bidi w:val="0"/>
        <w:ind w:left="0" w:leftChars="0" w:firstLine="0" w:firstLineChars="0"/>
      </w:pPr>
      <w:r>
        <w:rPr>
          <w:rFonts w:hint="eastAsia"/>
          <w:lang w:val="en-US" w:eastAsia="zh-CN"/>
        </w:rPr>
        <w:t>2.</w:t>
      </w:r>
      <w:r>
        <w:t>软件</w:t>
      </w:r>
      <w:r>
        <w:rPr>
          <w:rFonts w:hint="eastAsia"/>
          <w:lang w:val="en-US" w:eastAsia="zh-CN"/>
        </w:rPr>
        <w:t>系统</w:t>
      </w:r>
      <w:r>
        <w:t>要求</w:t>
      </w:r>
      <w:r>
        <w:br w:type="textWrapping"/>
      </w:r>
      <w:r>
        <w:rPr>
          <w:rFonts w:hint="eastAsia"/>
          <w:lang w:val="en-US" w:eastAsia="zh-CN"/>
        </w:rPr>
        <w:t xml:space="preserve">  </w:t>
      </w:r>
      <w:r>
        <w:t>通过部署在医院自助设备上，实时连接医院LIS系统</w:t>
      </w:r>
      <w:r>
        <w:rPr>
          <w:rFonts w:hint="eastAsia"/>
          <w:lang w:val="en-US" w:eastAsia="zh-CN"/>
        </w:rPr>
        <w:t>，</w:t>
      </w:r>
      <w:r>
        <w:t>获取报告信息，患者可在自助设备上实现对检查检验报告单的查询、打印功能，系统应支持</w:t>
      </w:r>
      <w:r>
        <w:rPr>
          <w:rFonts w:hint="eastAsia"/>
          <w:lang w:val="en-US" w:eastAsia="zh-CN"/>
        </w:rPr>
        <w:t>条码取报告</w:t>
      </w:r>
      <w:r>
        <w:t>。</w:t>
      </w:r>
      <w:r>
        <w:br w:type="textWrapping"/>
      </w:r>
      <w:r>
        <w:t>（1）报告查询：需实现用户持相关介质，通过自助设备识别患者身份信息，查询</w:t>
      </w:r>
      <w:r>
        <w:rPr>
          <w:rFonts w:hint="eastAsia"/>
          <w:lang w:val="en-US" w:eastAsia="zh-CN"/>
        </w:rPr>
        <w:t>用户</w:t>
      </w:r>
      <w:r>
        <w:t>检验报告</w:t>
      </w:r>
      <w:r>
        <w:rPr>
          <w:rFonts w:hint="eastAsia"/>
          <w:lang w:val="en-US" w:eastAsia="zh-CN"/>
        </w:rPr>
        <w:t>信息，</w:t>
      </w:r>
      <w:r>
        <w:t>打印时须通过就诊介质识别患者身份。</w:t>
      </w:r>
      <w:r>
        <w:br w:type="textWrapping"/>
      </w:r>
      <w:r>
        <w:t>（2）报告打印：患者通过部署在自助设备上的报告查询、打印系统，持相关就诊介质，识别患者身份后，展示相关报告信息，患者可选择需打印的</w:t>
      </w:r>
      <w:r>
        <w:rPr>
          <w:rFonts w:hint="eastAsia"/>
          <w:lang w:val="en-US" w:eastAsia="zh-CN"/>
        </w:rPr>
        <w:t>报告</w:t>
      </w:r>
      <w:r>
        <w:t>进行打印。</w:t>
      </w:r>
      <w:r>
        <w:br w:type="textWrapping"/>
      </w:r>
      <w:r>
        <w:rPr>
          <w:rFonts w:hint="eastAsia"/>
          <w:lang w:val="en-US" w:eastAsia="zh-CN"/>
        </w:rPr>
        <w:t>操作流程：</w:t>
      </w:r>
    </w:p>
    <w:p>
      <w:pPr>
        <w:bidi w:val="0"/>
        <w:ind w:left="0" w:leftChars="0" w:firstLine="0" w:firstLineChars="0"/>
        <w:rPr>
          <w:rFonts w:hint="eastAsia"/>
          <w:lang w:val="en-US" w:eastAsia="zh-CN"/>
        </w:rPr>
      </w:pPr>
      <w:r>
        <w:t>患者持</w:t>
      </w:r>
      <w:r>
        <w:rPr>
          <w:rFonts w:hint="eastAsia"/>
          <w:lang w:val="en-US" w:eastAsia="zh-CN"/>
        </w:rPr>
        <w:t>导诊单条形码、或者报告信息</w:t>
      </w:r>
      <w:r>
        <w:t>条形码等</w:t>
      </w:r>
      <w:r>
        <w:rPr>
          <w:rFonts w:hint="eastAsia"/>
          <w:lang w:val="en-US" w:eastAsia="zh-CN"/>
        </w:rPr>
        <w:t>介质</w:t>
      </w:r>
      <w:r>
        <w:t>，在自助设备上进行身份验证识别；身份识别验证后，患者可查询个人检查检验报告信息；患者可按需选择要打印的报告信息。供应商需要自行对接医院相关报告打印设备，并做好相关接口调试。</w:t>
      </w:r>
      <w:r>
        <w:br w:type="textWrapping"/>
      </w:r>
      <w:r>
        <w:rPr>
          <w:rFonts w:hint="eastAsia"/>
          <w:lang w:val="en-US" w:eastAsia="zh-CN"/>
        </w:rPr>
        <w:t>应用</w:t>
      </w:r>
      <w:r>
        <w:t>软件说明</w:t>
      </w:r>
      <w:r>
        <w:rPr>
          <w:rFonts w:hint="eastAsia"/>
          <w:lang w:eastAsia="zh-CN"/>
        </w:rPr>
        <w:t>：</w:t>
      </w:r>
      <w:r>
        <w:br w:type="textWrapping"/>
      </w:r>
      <w:r>
        <w:t>（1）系统需保证医院现有的门诊业务流程，确保业务流畅。</w:t>
      </w:r>
      <w:r>
        <w:br w:type="textWrapping"/>
      </w:r>
      <w:r>
        <w:t>（2）系统用户界面要友好，风格一致，操作简便。</w:t>
      </w:r>
      <w:r>
        <w:br w:type="textWrapping"/>
      </w:r>
      <w:r>
        <w:t>（3）系统要充分保证数据安全性、完整性。</w:t>
      </w:r>
      <w:r>
        <w:br w:type="textWrapping"/>
      </w:r>
      <w:r>
        <w:t>（4）系统具有一定抵御外界环境的能力：病毒防护、非法侵入等；</w:t>
      </w:r>
      <w:r>
        <w:br w:type="textWrapping"/>
      </w:r>
      <w:r>
        <w:t>（5）系统能够保持7x24小时不间断运行,当系统遇到故障时有应急处置能力。</w:t>
      </w:r>
    </w:p>
    <w:p>
      <w:pPr>
        <w:pStyle w:val="2"/>
        <w:rPr>
          <w:rFonts w:hint="default"/>
          <w:lang w:val="en-US" w:eastAsia="zh-CN"/>
        </w:rPr>
      </w:pPr>
    </w:p>
    <w:p>
      <w:pPr>
        <w:spacing w:line="360" w:lineRule="auto"/>
        <w:rPr>
          <w:rFonts w:hint="eastAsia" w:ascii="宋体" w:hAnsi="宋体" w:eastAsia="宋体"/>
          <w:sz w:val="28"/>
          <w:szCs w:val="28"/>
        </w:rPr>
      </w:pPr>
      <w:r>
        <w:rPr>
          <w:rFonts w:hint="eastAsia" w:ascii="宋体" w:hAnsi="宋体" w:eastAsia="宋体"/>
          <w:sz w:val="28"/>
          <w:szCs w:val="28"/>
        </w:rPr>
        <w:br w:type="page"/>
      </w:r>
      <w:r>
        <w:rPr>
          <w:rFonts w:hint="eastAsia" w:ascii="宋体" w:hAnsi="宋体" w:eastAsia="宋体"/>
          <w:sz w:val="28"/>
          <w:szCs w:val="28"/>
        </w:rPr>
        <w:t>3.3项目实施</w:t>
      </w:r>
      <w:r>
        <w:rPr>
          <w:rFonts w:ascii="宋体" w:hAnsi="宋体" w:eastAsia="宋体"/>
          <w:sz w:val="28"/>
          <w:szCs w:val="28"/>
        </w:rPr>
        <w:t>要求</w:t>
      </w:r>
    </w:p>
    <w:p>
      <w:pPr>
        <w:bidi w:val="0"/>
      </w:pPr>
      <w:bookmarkStart w:id="3" w:name="项目组织管理要求"/>
      <w:r>
        <w:t>3.</w:t>
      </w:r>
      <w:r>
        <w:rPr>
          <w:rFonts w:hint="eastAsia"/>
        </w:rPr>
        <w:t>1</w:t>
      </w:r>
      <w:r>
        <w:t>项目组织管理要求</w:t>
      </w:r>
    </w:p>
    <w:bookmarkEnd w:id="3"/>
    <w:p>
      <w:pPr>
        <w:bidi w:val="0"/>
      </w:pPr>
      <w:r>
        <w:rPr>
          <w:rFonts w:hint="eastAsia"/>
        </w:rPr>
        <w:t>(1)供应商</w:t>
      </w:r>
      <w:r>
        <w:t>应充分考虑满足投标项目的建设要求，提出完整的项目管理、系统设计与开发、培训、项目施工、项目验收、售后服务方案以及供应商人力资源供给方案。</w:t>
      </w:r>
    </w:p>
    <w:p>
      <w:pPr>
        <w:bidi w:val="0"/>
      </w:pPr>
      <w:r>
        <w:rPr>
          <w:rFonts w:hint="eastAsia"/>
        </w:rPr>
        <w:t>(2)</w:t>
      </w:r>
      <w:r>
        <w:t>投标文件中，应根据对项目的理解作出项目的人员配置管理计划，包括组织结构、项目负责人、组成人员及分工职责；阐述项目建设中</w:t>
      </w:r>
      <w:r>
        <w:rPr>
          <w:rFonts w:hint="eastAsia"/>
        </w:rPr>
        <w:t>采购人</w:t>
      </w:r>
      <w:r>
        <w:t>和</w:t>
      </w:r>
      <w:r>
        <w:rPr>
          <w:rFonts w:hint="eastAsia"/>
        </w:rPr>
        <w:t>供应商</w:t>
      </w:r>
      <w:r>
        <w:t>的职责。</w:t>
      </w:r>
    </w:p>
    <w:p>
      <w:pPr>
        <w:bidi w:val="0"/>
      </w:pPr>
      <w:r>
        <w:rPr>
          <w:rFonts w:hint="eastAsia"/>
        </w:rPr>
        <w:t>(3)</w:t>
      </w:r>
      <w:r>
        <w:t>采购人有权监督和管理投标项目的测试、安装、调试、故障诊断、系统开发和验收等各项工作，</w:t>
      </w:r>
      <w:r>
        <w:rPr>
          <w:rFonts w:hint="eastAsia"/>
        </w:rPr>
        <w:t>供应商</w:t>
      </w:r>
      <w:r>
        <w:t>接受并服从采购人的监督、管理要求。</w:t>
      </w:r>
    </w:p>
    <w:p>
      <w:pPr>
        <w:bidi w:val="0"/>
      </w:pPr>
      <w:r>
        <w:t>3.2</w:t>
      </w:r>
      <w:r>
        <w:rPr>
          <w:rFonts w:hint="eastAsia"/>
        </w:rPr>
        <w:t>计划与进度管理</w:t>
      </w:r>
      <w:r>
        <w:t>要求</w:t>
      </w:r>
    </w:p>
    <w:p>
      <w:pPr>
        <w:bidi w:val="0"/>
      </w:pPr>
      <w:r>
        <w:t>(1)</w:t>
      </w:r>
      <w:r>
        <w:rPr>
          <w:rFonts w:hint="eastAsia"/>
        </w:rPr>
        <w:t>供应商</w:t>
      </w:r>
      <w:r>
        <w:t>在投标文件中应根据对项目的理解作出项目实施计划，中标后提交正式工作方案，明确招标项目工作的方式、方法、过程步骤、按阶段分解的详细计划、需要采购人协调与配合的事项，并经采购人审核、批准。</w:t>
      </w:r>
    </w:p>
    <w:p>
      <w:pPr>
        <w:bidi w:val="0"/>
      </w:pPr>
      <w:r>
        <w:t>(2)</w:t>
      </w:r>
      <w:r>
        <w:rPr>
          <w:rFonts w:hint="eastAsia"/>
        </w:rPr>
        <w:t>供应商</w:t>
      </w:r>
      <w:r>
        <w:t>在项目实施过程中分别按周、月提交进度报告，对项目问题及进度延迟原因进行说明，制定合理的解决措施并有效执行。</w:t>
      </w:r>
    </w:p>
    <w:p>
      <w:pPr>
        <w:bidi w:val="0"/>
      </w:pPr>
      <w:r>
        <w:t>(</w:t>
      </w:r>
      <w:r>
        <w:rPr>
          <w:rFonts w:hint="eastAsia"/>
        </w:rPr>
        <w:t>3</w:t>
      </w:r>
      <w:r>
        <w:t>)</w:t>
      </w:r>
      <w:r>
        <w:rPr>
          <w:rFonts w:hint="eastAsia"/>
        </w:rPr>
        <w:t>供应商</w:t>
      </w:r>
      <w:r>
        <w:t>在投标文件中阐述项目沟通计划，确保供应商与用户之间信息沟通顺畅。</w:t>
      </w:r>
    </w:p>
    <w:p>
      <w:pPr>
        <w:bidi w:val="0"/>
      </w:pPr>
      <w:r>
        <w:rPr>
          <w:rFonts w:hint="eastAsia"/>
        </w:rPr>
        <w:t>(4) 本次项目进度要求：</w:t>
      </w:r>
    </w:p>
    <w:p>
      <w:pPr>
        <w:bidi w:val="0"/>
      </w:pPr>
      <w:r>
        <w:rPr>
          <w:rFonts w:hint="eastAsia"/>
        </w:rPr>
        <w:t>合同签订收到后45天内，全功能自助机安装部署到位。到货45日内完成系统测试、调试、部署、</w:t>
      </w:r>
      <w:r>
        <w:t>保证</w:t>
      </w:r>
      <w:r>
        <w:rPr>
          <w:rFonts w:hint="eastAsia"/>
        </w:rPr>
        <w:t>自助服务设备、系统上线运行。</w:t>
      </w:r>
    </w:p>
    <w:p>
      <w:pPr>
        <w:bidi w:val="0"/>
      </w:pPr>
      <w:r>
        <w:t>3.</w:t>
      </w:r>
      <w:r>
        <w:rPr>
          <w:rFonts w:hint="eastAsia"/>
        </w:rPr>
        <w:t>3产品质量要求</w:t>
      </w:r>
    </w:p>
    <w:p>
      <w:pPr>
        <w:bidi w:val="0"/>
      </w:pPr>
      <w:r>
        <w:rPr>
          <w:rFonts w:hint="eastAsia"/>
        </w:rPr>
        <w:t>供应商投标提供的设备必须是厂商原装的、全新的，型号、性能及指标符合国家及招标文件提出的有关技术、质量、安全标准。</w:t>
      </w:r>
    </w:p>
    <w:p>
      <w:pPr>
        <w:bidi w:val="0"/>
      </w:pPr>
      <w:r>
        <w:rPr>
          <w:rFonts w:hint="eastAsia"/>
        </w:rPr>
        <w:t>所有设备在开箱检验时必须完好，无破损，配置与装箱单相符。数量、质量及性能不低于本需求书中提出的要求。</w:t>
      </w:r>
    </w:p>
    <w:p>
      <w:pPr>
        <w:bidi w:val="0"/>
      </w:pPr>
      <w:r>
        <w:rPr>
          <w:rFonts w:hint="eastAsia"/>
        </w:rPr>
        <w:t>设备外观清洁，标记编号以及盘面显示等字体清晰，明确。铭牌、使用指示、警告指示应以中文或英文及易懂的通用符号来表示；应准确无误地表明设备之型号、规格、制造厂及生产或出厂日期。</w:t>
      </w:r>
    </w:p>
    <w:p>
      <w:pPr>
        <w:bidi w:val="0"/>
      </w:pPr>
      <w:r>
        <w:rPr>
          <w:rFonts w:hint="eastAsia"/>
        </w:rPr>
        <w:t>所提供的技术资料（含软件）完整正确，数据和资料准确无误，能够保证设备按时正确地安装、调试和验收，并能满足正常运行和维修保养的需要。在未验收前，货物保管、安全均由供应商负责，货物送到采购人指定地点，并负责办理运输和装卸，费用由供应商负责。</w:t>
      </w:r>
    </w:p>
    <w:p>
      <w:pPr>
        <w:bidi w:val="0"/>
      </w:pPr>
      <w:r>
        <w:rPr>
          <w:rFonts w:hint="eastAsia"/>
        </w:rPr>
        <w:t>采购人使用该货物的任何一部分，当受第三方提出的侵犯其专利权、商标权或工业设计权的投诉时，一切后果由潜在的中标方负责。</w:t>
      </w:r>
    </w:p>
    <w:p>
      <w:pPr>
        <w:bidi w:val="0"/>
      </w:pPr>
      <w:r>
        <w:t>软件交互友好</w:t>
      </w:r>
      <w:r>
        <w:rPr>
          <w:rFonts w:hint="eastAsia"/>
        </w:rPr>
        <w:t>，</w:t>
      </w:r>
      <w:r>
        <w:t>产品易用性强</w:t>
      </w:r>
      <w:r>
        <w:rPr>
          <w:rFonts w:hint="eastAsia"/>
        </w:rPr>
        <w:t>，</w:t>
      </w:r>
      <w:r>
        <w:t>故障率低</w:t>
      </w:r>
      <w:r>
        <w:rPr>
          <w:rFonts w:hint="eastAsia"/>
        </w:rPr>
        <w:t>。</w:t>
      </w:r>
    </w:p>
    <w:p>
      <w:pPr>
        <w:bidi w:val="0"/>
      </w:pPr>
      <w:r>
        <w:t>3.</w:t>
      </w:r>
      <w:r>
        <w:rPr>
          <w:rFonts w:hint="eastAsia"/>
        </w:rPr>
        <w:t>4设备安装调试要求</w:t>
      </w:r>
    </w:p>
    <w:p>
      <w:pPr>
        <w:bidi w:val="0"/>
      </w:pPr>
      <w:r>
        <w:rPr>
          <w:rFonts w:hint="eastAsia"/>
        </w:rPr>
        <w:t>调试所需专用工具设施物料由中标人自备、自费运到现场，完工后自费搬走。</w:t>
      </w:r>
    </w:p>
    <w:p>
      <w:pPr>
        <w:bidi w:val="0"/>
      </w:pPr>
      <w:r>
        <w:rPr>
          <w:rFonts w:hint="eastAsia"/>
        </w:rPr>
        <w:t>在现场安装调试期间，如果系统出现不正常情况（如设备损坏、故障、达不到技术规范或设备说明书的指标），中标人应免费在不延误工期的情况下从速替换。</w:t>
      </w:r>
    </w:p>
    <w:p>
      <w:pPr>
        <w:bidi w:val="0"/>
        <w:rPr>
          <w:rFonts w:ascii="宋体" w:hAnsi="宋体" w:eastAsia="宋体"/>
          <w:b/>
          <w:kern w:val="0"/>
        </w:rPr>
      </w:pPr>
      <w:r>
        <w:rPr>
          <w:rFonts w:hint="eastAsia"/>
        </w:rPr>
        <w:t>在系统试运行期间，如果发现由于中标人的责任造成系统的功能和性能不符合技术规范书的要求，或由于设备故障的发生导致设备停止运转，中标人应承诺在2小时内及时修复。</w:t>
      </w:r>
    </w:p>
    <w:p>
      <w:pPr>
        <w:bidi w:val="0"/>
      </w:pPr>
      <w:bookmarkStart w:id="4" w:name="人员培训"/>
      <w:r>
        <w:rPr>
          <w:rFonts w:hint="eastAsia"/>
          <w:lang w:val="en-US" w:eastAsia="zh-CN"/>
        </w:rPr>
        <w:t>3.5</w:t>
      </w:r>
      <w:r>
        <w:t>培训服务</w:t>
      </w:r>
    </w:p>
    <w:bookmarkEnd w:id="4"/>
    <w:p>
      <w:pPr>
        <w:bidi w:val="0"/>
      </w:pPr>
      <w:r>
        <w:rPr>
          <w:rFonts w:hint="eastAsia"/>
        </w:rPr>
        <w:t>供应商负责为用户及采购方相关人员（包括导医人员、门办管理者、信息科技术人员、财务人员等）提供相应的免费培训服务</w:t>
      </w:r>
      <w:r>
        <w:t>。</w:t>
      </w:r>
      <w:r>
        <w:rPr>
          <w:rFonts w:hint="eastAsia"/>
        </w:rPr>
        <w:t>培训方式为现场培训，采用课堂授课和参与开发实习相结合的模式，培训内容</w:t>
      </w:r>
      <w:r>
        <w:t>包括：</w:t>
      </w:r>
      <w:r>
        <w:rPr>
          <w:rFonts w:hint="eastAsia"/>
        </w:rPr>
        <w:t>软件使用说明、系统操作说明、</w:t>
      </w:r>
      <w:r>
        <w:t>系统管理、开发工具、</w:t>
      </w:r>
      <w:r>
        <w:rPr>
          <w:rFonts w:hint="eastAsia"/>
        </w:rPr>
        <w:t>平台软件、</w:t>
      </w:r>
      <w:r>
        <w:t>数据交换技术等。</w:t>
      </w:r>
      <w:r>
        <w:rPr>
          <w:rFonts w:hint="eastAsia"/>
        </w:rPr>
        <w:t>供应商</w:t>
      </w:r>
      <w:r>
        <w:t>根据上述要求详细说明方案，并作为投标文件的一部分提交。</w:t>
      </w:r>
    </w:p>
    <w:p/>
    <w:p>
      <w:pPr>
        <w:bidi w:val="0"/>
      </w:pPr>
      <w:r>
        <w:rPr>
          <w:rFonts w:hint="eastAsia"/>
        </w:rPr>
        <w:br w:type="page"/>
      </w:r>
      <w:r>
        <w:rPr>
          <w:rFonts w:hint="eastAsia"/>
        </w:rPr>
        <w:t>四、售后及服务要求</w:t>
      </w:r>
    </w:p>
    <w:p>
      <w:pPr>
        <w:bidi w:val="0"/>
      </w:pPr>
      <w:r>
        <w:rPr>
          <w:rFonts w:hint="eastAsia"/>
        </w:rPr>
        <w:t>为</w:t>
      </w:r>
      <w:r>
        <w:t>保证</w:t>
      </w:r>
      <w:r>
        <w:rPr>
          <w:rFonts w:hint="eastAsia"/>
        </w:rPr>
        <w:t>信息</w:t>
      </w:r>
      <w:r>
        <w:t>系统正常、安全地运行，供应商应制</w:t>
      </w:r>
      <w:r>
        <w:rPr>
          <w:rFonts w:hint="eastAsia"/>
        </w:rPr>
        <w:t>订</w:t>
      </w:r>
      <w:r>
        <w:t>系统详细的技术支持与服务方案。</w:t>
      </w:r>
      <w:r>
        <w:rPr>
          <w:rFonts w:hint="eastAsia"/>
        </w:rPr>
        <w:t>供应商</w:t>
      </w:r>
      <w:r>
        <w:t>根据本次招标文件所制定的目标和范围，提出相应的售后服务方案，并作为投标文件的一部分提交。</w:t>
      </w:r>
    </w:p>
    <w:p>
      <w:pPr>
        <w:bidi w:val="0"/>
      </w:pPr>
      <w:bookmarkStart w:id="5" w:name="售后服务"/>
      <w:r>
        <w:t>4.</w:t>
      </w:r>
      <w:r>
        <w:rPr>
          <w:rFonts w:hint="eastAsia"/>
        </w:rPr>
        <w:t>1运维</w:t>
      </w:r>
      <w:r>
        <w:t>服务</w:t>
      </w:r>
    </w:p>
    <w:bookmarkEnd w:id="5"/>
    <w:p>
      <w:pPr>
        <w:bidi w:val="0"/>
      </w:pPr>
      <w:r>
        <w:rPr>
          <w:rFonts w:hint="eastAsia"/>
        </w:rPr>
        <w:t>供应商需提供</w:t>
      </w:r>
      <w:r>
        <w:rPr>
          <w:rFonts w:hint="eastAsia"/>
          <w:lang w:val="en-US" w:eastAsia="zh-CN"/>
        </w:rPr>
        <w:t>1</w:t>
      </w:r>
      <w:r>
        <w:rPr>
          <w:rFonts w:hint="eastAsia"/>
        </w:rPr>
        <w:t>年</w:t>
      </w:r>
      <w:r>
        <w:rPr>
          <w:rFonts w:hint="eastAsia"/>
          <w:lang w:val="en-US" w:eastAsia="zh-CN"/>
        </w:rPr>
        <w:t>软硬件</w:t>
      </w:r>
      <w:r>
        <w:rPr>
          <w:rFonts w:hint="eastAsia"/>
        </w:rPr>
        <w:t>设备</w:t>
      </w:r>
      <w:r>
        <w:rPr>
          <w:rFonts w:hint="eastAsia"/>
          <w:lang w:val="en-US" w:eastAsia="zh-CN"/>
        </w:rPr>
        <w:t>免费</w:t>
      </w:r>
      <w:r>
        <w:rPr>
          <w:rFonts w:hint="eastAsia"/>
        </w:rPr>
        <w:t>售后服务，提供并建立一整套完整的运维服务保障体系及应急保障体系。厂家需在南京设立售后服务部，</w:t>
      </w:r>
      <w:r>
        <w:rPr>
          <w:rFonts w:hint="eastAsia"/>
          <w:lang w:val="en-US" w:eastAsia="zh-CN"/>
        </w:rPr>
        <w:t>提供常用配件供应。</w:t>
      </w:r>
      <w:r>
        <w:rPr>
          <w:rFonts w:hint="eastAsia"/>
        </w:rPr>
        <w:t>医院可通过电话、邮件、微信进行投诉反馈，厂家须认真对待，第一时间予以响应与解决。</w:t>
      </w:r>
    </w:p>
    <w:p>
      <w:pPr>
        <w:bidi w:val="0"/>
      </w:pPr>
      <w:r>
        <w:rPr>
          <w:rFonts w:hint="eastAsia"/>
        </w:rPr>
        <w:t>工程师运维服务</w:t>
      </w:r>
    </w:p>
    <w:p>
      <w:pPr>
        <w:bidi w:val="0"/>
      </w:pPr>
      <w:r>
        <w:rPr>
          <w:rFonts w:hint="eastAsia"/>
        </w:rPr>
        <w:t>根据医院自助设备的开机作息要求,配备运维保障，尤其是重大参观及检查期间。提供7*24小时技术支持服务，接到故障报修后，10分钟内予以响应，硬件故障小修2小时内解决</w:t>
      </w:r>
      <w:r>
        <w:rPr>
          <w:rFonts w:hint="eastAsia"/>
          <w:lang w:eastAsia="zh-CN"/>
        </w:rPr>
        <w:t>。</w:t>
      </w:r>
      <w:r>
        <w:rPr>
          <w:rFonts w:hint="eastAsia"/>
        </w:rPr>
        <w:t>解决故障时，最大限度保护好数据，做好故障恢复的文档，力争恢复到故障点前的业务状态。对于“系统瘫痪，业务系统不能运转”的故障级别，如果不能于12小时内解决故障，厂家须在16小时内提出应急方案，确保业务系统的运行。故障解决后24小时内，提交故障处理报告。说明故障种类、故障原因、故障解决中使用的方法及故障损失等。</w:t>
      </w:r>
    </w:p>
    <w:p>
      <w:pPr>
        <w:bidi w:val="0"/>
      </w:pPr>
      <w:r>
        <w:rPr>
          <w:rFonts w:hint="eastAsia"/>
        </w:rPr>
        <w:t>超过合同期限后的服务</w:t>
      </w:r>
    </w:p>
    <w:p>
      <w:pPr>
        <w:spacing w:line="360" w:lineRule="auto"/>
        <w:ind w:firstLine="480" w:firstLineChars="200"/>
        <w:rPr>
          <w:rFonts w:hint="eastAsia" w:ascii="宋体" w:hAnsi="宋体" w:eastAsia="宋体" w:cs="宋体"/>
          <w:highlight w:val="yellow"/>
        </w:rPr>
      </w:pPr>
      <w:r>
        <w:rPr>
          <w:rFonts w:hint="eastAsia"/>
        </w:rPr>
        <w:t>超出合同期限后，有关软件升级、硬件维护、服务方式、范围及服务费用由双方协商确定。</w:t>
      </w:r>
    </w:p>
    <w:sectPr>
      <w:headerReference r:id="rId5" w:type="first"/>
      <w:footerReference r:id="rId7" w:type="first"/>
      <w:headerReference r:id="rId4" w:type="default"/>
      <w:footerReference r:id="rId6" w:type="default"/>
      <w:pgSz w:w="11906" w:h="16838"/>
      <w:pgMar w:top="1440" w:right="1418" w:bottom="1440" w:left="1418" w:header="851" w:footer="992" w:gutter="0"/>
      <w:pgBorders w:offsetFrom="page">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0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fldChar w:fldCharType="begin"/>
    </w:r>
    <w:r>
      <w:instrText xml:space="preserve"> PAGE   \* MERGEFORMAT </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Bdr>
                              <w:between w:val="none" w:color="auto" w:sz="0" w:space="0"/>
                            </w:pBdr>
                          </w:pPr>
                          <w:r>
                            <w:fldChar w:fldCharType="begin"/>
                          </w:r>
                          <w:r>
                            <w:rPr>
                              <w:rStyle w:val="35"/>
                            </w:rPr>
                            <w:instrText xml:space="preserve"> PAGE  </w:instrText>
                          </w:r>
                          <w:r>
                            <w:fldChar w:fldCharType="separate"/>
                          </w:r>
                          <w:r>
                            <w:rPr>
                              <w:rStyle w:val="35"/>
                            </w:rP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2"/>
                      <w:pBdr>
                        <w:between w:val="none" w:color="auto" w:sz="0" w:space="0"/>
                      </w:pBdr>
                    </w:pPr>
                    <w:r>
                      <w:fldChar w:fldCharType="begin"/>
                    </w:r>
                    <w:r>
                      <w:rPr>
                        <w:rStyle w:val="35"/>
                      </w:rPr>
                      <w:instrText xml:space="preserve"> PAGE  </w:instrText>
                    </w:r>
                    <w:r>
                      <w:fldChar w:fldCharType="separate"/>
                    </w:r>
                    <w:r>
                      <w:rPr>
                        <w:rStyle w:val="35"/>
                      </w:rP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5</w:t>
    </w:r>
    <w:r>
      <w:fldChar w:fldCharType="end"/>
    </w:r>
  </w:p>
  <w:p>
    <w:pPr>
      <w:pStyle w:val="2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Ansi="宋体"/>
        <w:sz w:val="21"/>
        <w:szCs w:val="21"/>
      </w:rPr>
    </w:pPr>
    <w:r>
      <w:rPr>
        <w:rFonts w:hint="eastAsia" w:ascii="Times New Roman" w:hAnsi="宋体" w:eastAsia="宋体"/>
        <w:kern w:val="2"/>
        <w:sz w:val="21"/>
        <w:szCs w:val="21"/>
        <w:lang w:val="en-US" w:eastAsia="zh-CN" w:bidi="ar-SA"/>
      </w:rPr>
      <w:t>南京市江宁医院</w:t>
    </w:r>
    <w:r>
      <w:rPr>
        <w:rFonts w:hint="eastAsia" w:hAnsi="宋体"/>
        <w:kern w:val="2"/>
        <w:sz w:val="21"/>
        <w:szCs w:val="21"/>
        <w:lang w:val="en-US" w:eastAsia="zh-CN" w:bidi="ar-SA"/>
      </w:rPr>
      <w:t>报告打印机</w:t>
    </w:r>
    <w:r>
      <w:rPr>
        <w:rFonts w:hint="eastAsia" w:ascii="Times New Roman" w:hAnsi="宋体" w:eastAsia="宋体"/>
        <w:kern w:val="2"/>
        <w:sz w:val="21"/>
        <w:szCs w:val="21"/>
        <w:lang w:val="en-US" w:eastAsia="zh-CN" w:bidi="ar-SA"/>
      </w:rPr>
      <w:t>采购项目</w:t>
    </w:r>
    <w:r>
      <w:rPr>
        <w:rFonts w:hint="eastAsia" w:hAnsi="宋体"/>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ind w:firstLine="441"/>
      <w:rPr>
        <w:rFonts w:hint="eastAsia" w:hAnsi="宋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C29FE"/>
    <w:multiLevelType w:val="singleLevel"/>
    <w:tmpl w:val="C6CC29FE"/>
    <w:lvl w:ilvl="0" w:tentative="0">
      <w:start w:val="1"/>
      <w:numFmt w:val="decimal"/>
      <w:lvlText w:val="%1."/>
      <w:lvlJc w:val="left"/>
      <w:pPr>
        <w:tabs>
          <w:tab w:val="left" w:pos="312"/>
        </w:tabs>
      </w:pPr>
    </w:lvl>
  </w:abstractNum>
  <w:abstractNum w:abstractNumId="1">
    <w:nsid w:val="00000003"/>
    <w:multiLevelType w:val="singleLevel"/>
    <w:tmpl w:val="00000003"/>
    <w:lvl w:ilvl="0" w:tentative="0">
      <w:start w:val="1"/>
      <w:numFmt w:val="decimal"/>
      <w:lvlText w:val="%1."/>
      <w:lvlJc w:val="left"/>
      <w:pPr>
        <w:ind w:left="425" w:hanging="425"/>
      </w:pPr>
      <w:rPr>
        <w:rFonts w:hint="default"/>
      </w:rPr>
    </w:lvl>
  </w:abstractNum>
  <w:abstractNum w:abstractNumId="2">
    <w:nsid w:val="0000005C"/>
    <w:multiLevelType w:val="multilevel"/>
    <w:tmpl w:val="0000005C"/>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66"/>
    <w:multiLevelType w:val="multilevel"/>
    <w:tmpl w:val="00000066"/>
    <w:lvl w:ilvl="0" w:tentative="0">
      <w:start w:val="1"/>
      <w:numFmt w:val="decimal"/>
      <w:pStyle w:val="51"/>
      <w:isLgl/>
      <w:lvlText w:val="%1."/>
      <w:lvlJc w:val="left"/>
      <w:pPr>
        <w:tabs>
          <w:tab w:val="left" w:pos="425"/>
        </w:tabs>
        <w:ind w:left="425" w:hanging="425"/>
      </w:pPr>
      <w:rPr>
        <w:rFonts w:hint="default" w:ascii="宋体" w:hAnsi="宋体" w:eastAsia="宋体"/>
      </w:rPr>
    </w:lvl>
    <w:lvl w:ilvl="1" w:tentative="0">
      <w:start w:val="1"/>
      <w:numFmt w:val="decimal"/>
      <w:pStyle w:val="5"/>
      <w:isLgl/>
      <w:lvlText w:val="%1.%2."/>
      <w:lvlJc w:val="left"/>
      <w:pPr>
        <w:tabs>
          <w:tab w:val="left" w:pos="567"/>
        </w:tabs>
        <w:ind w:left="567" w:hanging="567"/>
      </w:pPr>
      <w:rPr>
        <w:rFonts w:hint="default" w:ascii="宋体" w:hAnsi="宋体" w:eastAsia="宋体"/>
      </w:rPr>
    </w:lvl>
    <w:lvl w:ilvl="2" w:tentative="0">
      <w:start w:val="1"/>
      <w:numFmt w:val="decimal"/>
      <w:pStyle w:val="6"/>
      <w:isLgl/>
      <w:lvlText w:val="%1.%2.%3."/>
      <w:lvlJc w:val="left"/>
      <w:pPr>
        <w:tabs>
          <w:tab w:val="left" w:pos="709"/>
        </w:tabs>
        <w:ind w:left="709" w:hanging="709"/>
      </w:pPr>
      <w:rPr>
        <w:rFonts w:hint="default" w:ascii="宋体" w:hAnsi="宋体" w:eastAsia="宋体"/>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906"/>
    <w:rsid w:val="00016A5E"/>
    <w:rsid w:val="00036CB3"/>
    <w:rsid w:val="00045BA6"/>
    <w:rsid w:val="0005172C"/>
    <w:rsid w:val="000523E9"/>
    <w:rsid w:val="000570B8"/>
    <w:rsid w:val="00057113"/>
    <w:rsid w:val="000727EA"/>
    <w:rsid w:val="00076F27"/>
    <w:rsid w:val="00092DF6"/>
    <w:rsid w:val="000944E6"/>
    <w:rsid w:val="00094BA6"/>
    <w:rsid w:val="000B113C"/>
    <w:rsid w:val="000C7AD0"/>
    <w:rsid w:val="000E4587"/>
    <w:rsid w:val="000F06F7"/>
    <w:rsid w:val="000F1FA1"/>
    <w:rsid w:val="000F49C9"/>
    <w:rsid w:val="0013117C"/>
    <w:rsid w:val="00137886"/>
    <w:rsid w:val="00157C5B"/>
    <w:rsid w:val="00162222"/>
    <w:rsid w:val="00173F92"/>
    <w:rsid w:val="0017570E"/>
    <w:rsid w:val="00190D76"/>
    <w:rsid w:val="00194216"/>
    <w:rsid w:val="001A3B4E"/>
    <w:rsid w:val="001A5A67"/>
    <w:rsid w:val="001A5C16"/>
    <w:rsid w:val="001A63F1"/>
    <w:rsid w:val="001B0261"/>
    <w:rsid w:val="001E0D06"/>
    <w:rsid w:val="001E332B"/>
    <w:rsid w:val="001E56B5"/>
    <w:rsid w:val="001E6A6F"/>
    <w:rsid w:val="001F4F14"/>
    <w:rsid w:val="0020100B"/>
    <w:rsid w:val="00231838"/>
    <w:rsid w:val="00232838"/>
    <w:rsid w:val="00235A81"/>
    <w:rsid w:val="00236451"/>
    <w:rsid w:val="0023650C"/>
    <w:rsid w:val="0023692B"/>
    <w:rsid w:val="0026435A"/>
    <w:rsid w:val="00264465"/>
    <w:rsid w:val="00274E50"/>
    <w:rsid w:val="00275B74"/>
    <w:rsid w:val="002803CC"/>
    <w:rsid w:val="00287D75"/>
    <w:rsid w:val="002946F3"/>
    <w:rsid w:val="002A351C"/>
    <w:rsid w:val="002A6F23"/>
    <w:rsid w:val="0030715A"/>
    <w:rsid w:val="003111F3"/>
    <w:rsid w:val="0031775C"/>
    <w:rsid w:val="003235CF"/>
    <w:rsid w:val="00327F91"/>
    <w:rsid w:val="003305EA"/>
    <w:rsid w:val="003321C8"/>
    <w:rsid w:val="00342845"/>
    <w:rsid w:val="0034483B"/>
    <w:rsid w:val="00345E93"/>
    <w:rsid w:val="00351D5B"/>
    <w:rsid w:val="0035663E"/>
    <w:rsid w:val="0039600C"/>
    <w:rsid w:val="003A4060"/>
    <w:rsid w:val="003D0A26"/>
    <w:rsid w:val="003F2AF5"/>
    <w:rsid w:val="004040EE"/>
    <w:rsid w:val="00420DA6"/>
    <w:rsid w:val="0042138D"/>
    <w:rsid w:val="00421A84"/>
    <w:rsid w:val="00423F1D"/>
    <w:rsid w:val="004313DE"/>
    <w:rsid w:val="00434A7E"/>
    <w:rsid w:val="00455032"/>
    <w:rsid w:val="00460733"/>
    <w:rsid w:val="0046295F"/>
    <w:rsid w:val="00465A7B"/>
    <w:rsid w:val="00473C68"/>
    <w:rsid w:val="0048590B"/>
    <w:rsid w:val="004B580F"/>
    <w:rsid w:val="004B7F06"/>
    <w:rsid w:val="004E41E0"/>
    <w:rsid w:val="004F263C"/>
    <w:rsid w:val="004F395E"/>
    <w:rsid w:val="004F4326"/>
    <w:rsid w:val="004F4552"/>
    <w:rsid w:val="004F5E1B"/>
    <w:rsid w:val="005010A9"/>
    <w:rsid w:val="00504398"/>
    <w:rsid w:val="005068F8"/>
    <w:rsid w:val="00524448"/>
    <w:rsid w:val="0052659A"/>
    <w:rsid w:val="00536B23"/>
    <w:rsid w:val="00557A33"/>
    <w:rsid w:val="0056769C"/>
    <w:rsid w:val="005740E0"/>
    <w:rsid w:val="00574661"/>
    <w:rsid w:val="0059158C"/>
    <w:rsid w:val="00596D12"/>
    <w:rsid w:val="005A0EBD"/>
    <w:rsid w:val="005A5C93"/>
    <w:rsid w:val="005F2D18"/>
    <w:rsid w:val="005F6176"/>
    <w:rsid w:val="005F619B"/>
    <w:rsid w:val="005F7DB0"/>
    <w:rsid w:val="00612394"/>
    <w:rsid w:val="00614C09"/>
    <w:rsid w:val="006263A1"/>
    <w:rsid w:val="00637F6F"/>
    <w:rsid w:val="006527EB"/>
    <w:rsid w:val="00655414"/>
    <w:rsid w:val="006565A3"/>
    <w:rsid w:val="00664E10"/>
    <w:rsid w:val="0067215B"/>
    <w:rsid w:val="00682756"/>
    <w:rsid w:val="00685224"/>
    <w:rsid w:val="00690CFD"/>
    <w:rsid w:val="006946AF"/>
    <w:rsid w:val="00695442"/>
    <w:rsid w:val="006A0F12"/>
    <w:rsid w:val="006A1A90"/>
    <w:rsid w:val="006B54CA"/>
    <w:rsid w:val="006C3966"/>
    <w:rsid w:val="006E3F11"/>
    <w:rsid w:val="006E733F"/>
    <w:rsid w:val="006E7501"/>
    <w:rsid w:val="00720693"/>
    <w:rsid w:val="00724B6E"/>
    <w:rsid w:val="00737E68"/>
    <w:rsid w:val="00753819"/>
    <w:rsid w:val="00757D13"/>
    <w:rsid w:val="007701F6"/>
    <w:rsid w:val="0077470F"/>
    <w:rsid w:val="00776653"/>
    <w:rsid w:val="00776FC6"/>
    <w:rsid w:val="00794A4C"/>
    <w:rsid w:val="00794DD7"/>
    <w:rsid w:val="007A1172"/>
    <w:rsid w:val="007A57AE"/>
    <w:rsid w:val="007A7E97"/>
    <w:rsid w:val="007B1843"/>
    <w:rsid w:val="007B3452"/>
    <w:rsid w:val="007B7E03"/>
    <w:rsid w:val="007C0922"/>
    <w:rsid w:val="007C5B3A"/>
    <w:rsid w:val="007D291B"/>
    <w:rsid w:val="007E3528"/>
    <w:rsid w:val="008052AD"/>
    <w:rsid w:val="00813A7B"/>
    <w:rsid w:val="008152DF"/>
    <w:rsid w:val="008312C6"/>
    <w:rsid w:val="00841A38"/>
    <w:rsid w:val="00851AF6"/>
    <w:rsid w:val="00853C08"/>
    <w:rsid w:val="00854072"/>
    <w:rsid w:val="00856069"/>
    <w:rsid w:val="008571DF"/>
    <w:rsid w:val="00870096"/>
    <w:rsid w:val="00872EA2"/>
    <w:rsid w:val="008773DE"/>
    <w:rsid w:val="0088352D"/>
    <w:rsid w:val="00891000"/>
    <w:rsid w:val="00895ECB"/>
    <w:rsid w:val="008A62D9"/>
    <w:rsid w:val="008B4CAD"/>
    <w:rsid w:val="008C3C68"/>
    <w:rsid w:val="008C72F1"/>
    <w:rsid w:val="008E331A"/>
    <w:rsid w:val="008F1897"/>
    <w:rsid w:val="008F3310"/>
    <w:rsid w:val="009023D5"/>
    <w:rsid w:val="0090355A"/>
    <w:rsid w:val="00907FB6"/>
    <w:rsid w:val="00913A9A"/>
    <w:rsid w:val="00913A9D"/>
    <w:rsid w:val="00920656"/>
    <w:rsid w:val="009213EB"/>
    <w:rsid w:val="00923916"/>
    <w:rsid w:val="009303F3"/>
    <w:rsid w:val="009379D9"/>
    <w:rsid w:val="00942F66"/>
    <w:rsid w:val="0095584D"/>
    <w:rsid w:val="009572FC"/>
    <w:rsid w:val="00962E4E"/>
    <w:rsid w:val="00964D5C"/>
    <w:rsid w:val="009720F8"/>
    <w:rsid w:val="0097425C"/>
    <w:rsid w:val="0097454D"/>
    <w:rsid w:val="0098093C"/>
    <w:rsid w:val="00983963"/>
    <w:rsid w:val="00991079"/>
    <w:rsid w:val="00993AF8"/>
    <w:rsid w:val="009B19C7"/>
    <w:rsid w:val="009B1A4E"/>
    <w:rsid w:val="009B249E"/>
    <w:rsid w:val="009B77B2"/>
    <w:rsid w:val="009B7FF7"/>
    <w:rsid w:val="009C3134"/>
    <w:rsid w:val="009D7E0E"/>
    <w:rsid w:val="009F4E45"/>
    <w:rsid w:val="00A01757"/>
    <w:rsid w:val="00A0382F"/>
    <w:rsid w:val="00A117C5"/>
    <w:rsid w:val="00A16E5B"/>
    <w:rsid w:val="00A313FC"/>
    <w:rsid w:val="00A329A0"/>
    <w:rsid w:val="00A32F62"/>
    <w:rsid w:val="00A37D11"/>
    <w:rsid w:val="00A46B81"/>
    <w:rsid w:val="00A47450"/>
    <w:rsid w:val="00A66EE4"/>
    <w:rsid w:val="00A764C0"/>
    <w:rsid w:val="00A821B2"/>
    <w:rsid w:val="00A847AF"/>
    <w:rsid w:val="00A87A97"/>
    <w:rsid w:val="00AA5C33"/>
    <w:rsid w:val="00AB52A8"/>
    <w:rsid w:val="00AB5D19"/>
    <w:rsid w:val="00AB6CC0"/>
    <w:rsid w:val="00AC3D4D"/>
    <w:rsid w:val="00AC602B"/>
    <w:rsid w:val="00AD73F2"/>
    <w:rsid w:val="00AE02D2"/>
    <w:rsid w:val="00AE0538"/>
    <w:rsid w:val="00AE0E05"/>
    <w:rsid w:val="00AE1F22"/>
    <w:rsid w:val="00AF6554"/>
    <w:rsid w:val="00AF709D"/>
    <w:rsid w:val="00AF7A75"/>
    <w:rsid w:val="00B16CD6"/>
    <w:rsid w:val="00B21AA4"/>
    <w:rsid w:val="00B26418"/>
    <w:rsid w:val="00B42916"/>
    <w:rsid w:val="00B44CDD"/>
    <w:rsid w:val="00B47730"/>
    <w:rsid w:val="00B53849"/>
    <w:rsid w:val="00B550EF"/>
    <w:rsid w:val="00B5796F"/>
    <w:rsid w:val="00B6267C"/>
    <w:rsid w:val="00B70E26"/>
    <w:rsid w:val="00B7113C"/>
    <w:rsid w:val="00B74EE2"/>
    <w:rsid w:val="00B8406C"/>
    <w:rsid w:val="00B8478B"/>
    <w:rsid w:val="00BB0003"/>
    <w:rsid w:val="00BB7089"/>
    <w:rsid w:val="00BB7177"/>
    <w:rsid w:val="00BC7875"/>
    <w:rsid w:val="00BC7E40"/>
    <w:rsid w:val="00BE099A"/>
    <w:rsid w:val="00BF7D2E"/>
    <w:rsid w:val="00C037DB"/>
    <w:rsid w:val="00C075FE"/>
    <w:rsid w:val="00C22964"/>
    <w:rsid w:val="00C27319"/>
    <w:rsid w:val="00C422BC"/>
    <w:rsid w:val="00C56FAB"/>
    <w:rsid w:val="00C64238"/>
    <w:rsid w:val="00C64E8C"/>
    <w:rsid w:val="00C7453E"/>
    <w:rsid w:val="00C75A1A"/>
    <w:rsid w:val="00C83231"/>
    <w:rsid w:val="00C85E88"/>
    <w:rsid w:val="00C86362"/>
    <w:rsid w:val="00C95335"/>
    <w:rsid w:val="00CA3584"/>
    <w:rsid w:val="00CA6C22"/>
    <w:rsid w:val="00CB64BE"/>
    <w:rsid w:val="00CC0E32"/>
    <w:rsid w:val="00CC51A5"/>
    <w:rsid w:val="00CD1E28"/>
    <w:rsid w:val="00CD3DF8"/>
    <w:rsid w:val="00CE0909"/>
    <w:rsid w:val="00CE26EC"/>
    <w:rsid w:val="00CF7E9E"/>
    <w:rsid w:val="00D0255B"/>
    <w:rsid w:val="00D05E34"/>
    <w:rsid w:val="00D24FDA"/>
    <w:rsid w:val="00D32895"/>
    <w:rsid w:val="00D36A9F"/>
    <w:rsid w:val="00D454B5"/>
    <w:rsid w:val="00D47E7E"/>
    <w:rsid w:val="00D514C9"/>
    <w:rsid w:val="00D52416"/>
    <w:rsid w:val="00D613ED"/>
    <w:rsid w:val="00D63C3D"/>
    <w:rsid w:val="00D670BD"/>
    <w:rsid w:val="00D9435D"/>
    <w:rsid w:val="00D96269"/>
    <w:rsid w:val="00DA2066"/>
    <w:rsid w:val="00DA7E8D"/>
    <w:rsid w:val="00DD5BC1"/>
    <w:rsid w:val="00E155CD"/>
    <w:rsid w:val="00E23EEF"/>
    <w:rsid w:val="00E272D3"/>
    <w:rsid w:val="00E273AF"/>
    <w:rsid w:val="00E307DB"/>
    <w:rsid w:val="00E31603"/>
    <w:rsid w:val="00E3250F"/>
    <w:rsid w:val="00E35540"/>
    <w:rsid w:val="00E47B4D"/>
    <w:rsid w:val="00E52F85"/>
    <w:rsid w:val="00E75FA0"/>
    <w:rsid w:val="00E843B4"/>
    <w:rsid w:val="00E84CF7"/>
    <w:rsid w:val="00E95413"/>
    <w:rsid w:val="00E95DB5"/>
    <w:rsid w:val="00EA09FE"/>
    <w:rsid w:val="00EA3669"/>
    <w:rsid w:val="00EB11DB"/>
    <w:rsid w:val="00EC1EEF"/>
    <w:rsid w:val="00EC2E2D"/>
    <w:rsid w:val="00ED50F0"/>
    <w:rsid w:val="00ED6ECF"/>
    <w:rsid w:val="00EE5763"/>
    <w:rsid w:val="00EF441C"/>
    <w:rsid w:val="00F018F8"/>
    <w:rsid w:val="00F208D3"/>
    <w:rsid w:val="00F215C3"/>
    <w:rsid w:val="00F245C1"/>
    <w:rsid w:val="00F25ED2"/>
    <w:rsid w:val="00F34DEB"/>
    <w:rsid w:val="00F3577A"/>
    <w:rsid w:val="00F3639C"/>
    <w:rsid w:val="00F408A5"/>
    <w:rsid w:val="00F423F7"/>
    <w:rsid w:val="00F60184"/>
    <w:rsid w:val="00F714CF"/>
    <w:rsid w:val="00F75668"/>
    <w:rsid w:val="00F90F6E"/>
    <w:rsid w:val="00F911EB"/>
    <w:rsid w:val="00F94412"/>
    <w:rsid w:val="00F979A5"/>
    <w:rsid w:val="00FB463A"/>
    <w:rsid w:val="00FC0FEB"/>
    <w:rsid w:val="00FE1903"/>
    <w:rsid w:val="00FF0AAC"/>
    <w:rsid w:val="00FF1173"/>
    <w:rsid w:val="00FF6982"/>
    <w:rsid w:val="021C4061"/>
    <w:rsid w:val="02A60E6D"/>
    <w:rsid w:val="04174114"/>
    <w:rsid w:val="07375C18"/>
    <w:rsid w:val="0AB40D06"/>
    <w:rsid w:val="0BC22708"/>
    <w:rsid w:val="143209B7"/>
    <w:rsid w:val="159628BF"/>
    <w:rsid w:val="176315E9"/>
    <w:rsid w:val="18ED5143"/>
    <w:rsid w:val="1B150113"/>
    <w:rsid w:val="24C12865"/>
    <w:rsid w:val="283706A1"/>
    <w:rsid w:val="2AB65E8E"/>
    <w:rsid w:val="31A32372"/>
    <w:rsid w:val="32D04B18"/>
    <w:rsid w:val="364156F2"/>
    <w:rsid w:val="366A1140"/>
    <w:rsid w:val="3CF25E43"/>
    <w:rsid w:val="3EFD7FD9"/>
    <w:rsid w:val="3F4C6556"/>
    <w:rsid w:val="42275D13"/>
    <w:rsid w:val="477B135F"/>
    <w:rsid w:val="53910F72"/>
    <w:rsid w:val="5D784C56"/>
    <w:rsid w:val="6446292B"/>
    <w:rsid w:val="647614FC"/>
    <w:rsid w:val="67804167"/>
    <w:rsid w:val="68806C3D"/>
    <w:rsid w:val="69787EC1"/>
    <w:rsid w:val="6A8A431A"/>
    <w:rsid w:val="6B0D7B23"/>
    <w:rsid w:val="6EA112E3"/>
    <w:rsid w:val="70800E57"/>
    <w:rsid w:val="74CD2593"/>
    <w:rsid w:val="7B37492E"/>
    <w:rsid w:val="7B4A73FE"/>
    <w:rsid w:val="7E7404C7"/>
    <w:rsid w:val="7EDD49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link w:val="89"/>
    <w:qFormat/>
    <w:uiPriority w:val="0"/>
    <w:pPr>
      <w:keepNext/>
      <w:keepLines/>
      <w:spacing w:before="340" w:beforeLines="0" w:after="330" w:afterLines="0" w:line="576" w:lineRule="auto"/>
      <w:outlineLvl w:val="0"/>
    </w:pPr>
    <w:rPr>
      <w:rFonts w:eastAsia="宋体"/>
      <w:b/>
      <w:bCs/>
      <w:kern w:val="44"/>
      <w:szCs w:val="44"/>
    </w:rPr>
  </w:style>
  <w:style w:type="paragraph" w:styleId="4">
    <w:name w:val="heading 2"/>
    <w:basedOn w:val="1"/>
    <w:next w:val="1"/>
    <w:link w:val="85"/>
    <w:qFormat/>
    <w:uiPriority w:val="9"/>
    <w:pPr>
      <w:keepNext/>
      <w:keepLines/>
      <w:jc w:val="left"/>
      <w:outlineLvl w:val="1"/>
    </w:pPr>
    <w:rPr>
      <w:rFonts w:ascii="Arial" w:hAnsi="Arial" w:eastAsia="宋体"/>
      <w:b/>
    </w:rPr>
  </w:style>
  <w:style w:type="paragraph" w:styleId="5">
    <w:name w:val="heading 3"/>
    <w:basedOn w:val="1"/>
    <w:next w:val="1"/>
    <w:link w:val="88"/>
    <w:qFormat/>
    <w:uiPriority w:val="0"/>
    <w:pPr>
      <w:keepNext/>
      <w:keepLines/>
      <w:numPr>
        <w:ilvl w:val="1"/>
        <w:numId w:val="1"/>
      </w:numPr>
      <w:jc w:val="left"/>
      <w:outlineLvl w:val="2"/>
    </w:pPr>
    <w:rPr>
      <w:b/>
    </w:rPr>
  </w:style>
  <w:style w:type="paragraph" w:styleId="6">
    <w:name w:val="heading 4"/>
    <w:basedOn w:val="1"/>
    <w:next w:val="1"/>
    <w:qFormat/>
    <w:uiPriority w:val="0"/>
    <w:pPr>
      <w:keepNext/>
      <w:keepLines/>
      <w:numPr>
        <w:ilvl w:val="2"/>
        <w:numId w:val="1"/>
      </w:numPr>
      <w:outlineLvl w:val="3"/>
    </w:pPr>
    <w:rPr>
      <w:rFonts w:ascii="Arial" w:hAnsi="Arial" w:eastAsia="宋体"/>
      <w:sz w:val="21"/>
    </w:rPr>
  </w:style>
  <w:style w:type="paragraph" w:styleId="7">
    <w:name w:val="heading 5"/>
    <w:basedOn w:val="1"/>
    <w:next w:val="1"/>
    <w:qFormat/>
    <w:uiPriority w:val="0"/>
    <w:pPr>
      <w:keepNext/>
      <w:keepLines/>
      <w:spacing w:before="280" w:beforeLines="0" w:after="290" w:afterLines="0" w:line="372" w:lineRule="auto"/>
      <w:ind w:firstLine="200" w:firstLineChars="200"/>
      <w:outlineLvl w:val="4"/>
    </w:pPr>
    <w:rPr>
      <w:rFonts w:eastAsia="楷体_GB2312"/>
      <w:b/>
      <w:bCs/>
      <w:sz w:val="28"/>
      <w:szCs w:val="28"/>
    </w:rPr>
  </w:style>
  <w:style w:type="character" w:default="1" w:styleId="34">
    <w:name w:val="Default Paragraph Font"/>
    <w:uiPriority w:val="0"/>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8">
    <w:name w:val="toc 7"/>
    <w:basedOn w:val="1"/>
    <w:next w:val="1"/>
    <w:unhideWhenUsed/>
    <w:qFormat/>
    <w:uiPriority w:val="39"/>
    <w:pPr>
      <w:ind w:left="2520" w:leftChars="1200"/>
    </w:pPr>
    <w:rPr>
      <w:rFonts w:ascii="Calibri" w:hAnsi="Calibri" w:eastAsia="宋体" w:cs="Times New Roman"/>
      <w:sz w:val="21"/>
      <w:szCs w:val="22"/>
    </w:rPr>
  </w:style>
  <w:style w:type="paragraph" w:styleId="9">
    <w:name w:val="Normal Indent"/>
    <w:basedOn w:val="1"/>
    <w:link w:val="91"/>
    <w:uiPriority w:val="0"/>
    <w:pPr>
      <w:adjustRightInd w:val="0"/>
      <w:spacing w:line="360" w:lineRule="atLeast"/>
      <w:ind w:firstLine="420"/>
      <w:textAlignment w:val="baseline"/>
    </w:pPr>
  </w:style>
  <w:style w:type="paragraph" w:styleId="10">
    <w:name w:val="Document Map"/>
    <w:basedOn w:val="1"/>
    <w:link w:val="63"/>
    <w:qFormat/>
    <w:uiPriority w:val="0"/>
    <w:pPr>
      <w:shd w:val="clear" w:color="auto" w:fill="000080"/>
    </w:pPr>
  </w:style>
  <w:style w:type="paragraph" w:styleId="11">
    <w:name w:val="annotation text"/>
    <w:basedOn w:val="1"/>
    <w:link w:val="67"/>
    <w:qFormat/>
    <w:uiPriority w:val="99"/>
    <w:pPr>
      <w:jc w:val="left"/>
    </w:pPr>
  </w:style>
  <w:style w:type="paragraph" w:styleId="12">
    <w:name w:val="Salutation"/>
    <w:basedOn w:val="1"/>
    <w:next w:val="1"/>
    <w:qFormat/>
    <w:uiPriority w:val="0"/>
    <w:rPr>
      <w:rFonts w:ascii="宋体"/>
    </w:rPr>
  </w:style>
  <w:style w:type="paragraph" w:styleId="13">
    <w:name w:val="Body Text"/>
    <w:basedOn w:val="1"/>
    <w:link w:val="74"/>
    <w:qFormat/>
    <w:uiPriority w:val="99"/>
    <w:pPr>
      <w:spacing w:after="120" w:afterLines="0"/>
    </w:pPr>
  </w:style>
  <w:style w:type="paragraph" w:styleId="14">
    <w:name w:val="Body Text Indent"/>
    <w:basedOn w:val="1"/>
    <w:link w:val="71"/>
    <w:qFormat/>
    <w:uiPriority w:val="0"/>
    <w:pPr>
      <w:spacing w:line="360" w:lineRule="auto"/>
      <w:ind w:firstLine="560" w:firstLineChars="200"/>
    </w:pPr>
    <w:rPr>
      <w:rFonts w:ascii="仿宋_GB2312"/>
      <w:color w:val="FF0000"/>
      <w:sz w:val="28"/>
      <w:szCs w:val="28"/>
    </w:rPr>
  </w:style>
  <w:style w:type="paragraph" w:styleId="15">
    <w:name w:val="toc 5"/>
    <w:basedOn w:val="1"/>
    <w:next w:val="1"/>
    <w:unhideWhenUsed/>
    <w:uiPriority w:val="39"/>
    <w:pPr>
      <w:ind w:left="1680" w:leftChars="800"/>
    </w:pPr>
    <w:rPr>
      <w:rFonts w:ascii="Calibri" w:hAnsi="Calibri" w:eastAsia="宋体" w:cs="Times New Roman"/>
      <w:sz w:val="21"/>
      <w:szCs w:val="22"/>
    </w:rPr>
  </w:style>
  <w:style w:type="paragraph" w:styleId="16">
    <w:name w:val="toc 3"/>
    <w:basedOn w:val="1"/>
    <w:next w:val="1"/>
    <w:qFormat/>
    <w:uiPriority w:val="39"/>
    <w:pPr>
      <w:ind w:left="420"/>
      <w:jc w:val="left"/>
    </w:pPr>
    <w:rPr>
      <w:rFonts w:ascii="Calibri" w:hAnsi="Calibri"/>
      <w:i/>
      <w:iCs/>
      <w:sz w:val="20"/>
      <w:szCs w:val="20"/>
    </w:rPr>
  </w:style>
  <w:style w:type="paragraph" w:styleId="17">
    <w:name w:val="Plain Text"/>
    <w:basedOn w:val="1"/>
    <w:link w:val="79"/>
    <w:qFormat/>
    <w:uiPriority w:val="0"/>
    <w:rPr>
      <w:rFonts w:ascii="宋体" w:hAnsi="Courier New"/>
    </w:rPr>
  </w:style>
  <w:style w:type="paragraph" w:styleId="18">
    <w:name w:val="toc 8"/>
    <w:basedOn w:val="1"/>
    <w:next w:val="1"/>
    <w:unhideWhenUsed/>
    <w:qFormat/>
    <w:uiPriority w:val="39"/>
    <w:pPr>
      <w:ind w:left="2940" w:leftChars="1400"/>
    </w:pPr>
    <w:rPr>
      <w:rFonts w:ascii="Calibri" w:hAnsi="Calibri" w:eastAsia="宋体" w:cs="Times New Roman"/>
      <w:sz w:val="21"/>
      <w:szCs w:val="22"/>
    </w:rPr>
  </w:style>
  <w:style w:type="paragraph" w:styleId="19">
    <w:name w:val="Date"/>
    <w:basedOn w:val="1"/>
    <w:next w:val="1"/>
    <w:qFormat/>
    <w:uiPriority w:val="0"/>
    <w:pPr>
      <w:ind w:left="100" w:leftChars="2500"/>
    </w:pPr>
    <w:rPr>
      <w:rFonts w:ascii="仿宋_GB2312"/>
      <w:color w:val="000000"/>
      <w:sz w:val="30"/>
    </w:rPr>
  </w:style>
  <w:style w:type="paragraph" w:styleId="20">
    <w:name w:val="Body Text Indent 2"/>
    <w:basedOn w:val="1"/>
    <w:link w:val="72"/>
    <w:qFormat/>
    <w:uiPriority w:val="0"/>
    <w:pPr>
      <w:spacing w:after="120" w:afterLines="0" w:line="480" w:lineRule="auto"/>
      <w:ind w:left="420" w:leftChars="200"/>
    </w:pPr>
    <w:rPr>
      <w:rFonts w:eastAsia="宋体"/>
      <w:sz w:val="21"/>
      <w:szCs w:val="24"/>
    </w:rPr>
  </w:style>
  <w:style w:type="paragraph" w:styleId="21">
    <w:name w:val="Balloon Text"/>
    <w:basedOn w:val="1"/>
    <w:link w:val="86"/>
    <w:uiPriority w:val="99"/>
    <w:rPr>
      <w:sz w:val="18"/>
      <w:szCs w:val="18"/>
    </w:rPr>
  </w:style>
  <w:style w:type="paragraph" w:styleId="22">
    <w:name w:val="footer"/>
    <w:basedOn w:val="1"/>
    <w:link w:val="93"/>
    <w:qFormat/>
    <w:uiPriority w:val="99"/>
    <w:pPr>
      <w:tabs>
        <w:tab w:val="center" w:pos="4153"/>
        <w:tab w:val="right" w:pos="8306"/>
      </w:tabs>
      <w:snapToGrid w:val="0"/>
      <w:jc w:val="left"/>
    </w:pPr>
    <w:rPr>
      <w:sz w:val="18"/>
      <w:szCs w:val="18"/>
    </w:rPr>
  </w:style>
  <w:style w:type="paragraph" w:styleId="23">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toc 4"/>
    <w:basedOn w:val="1"/>
    <w:next w:val="1"/>
    <w:unhideWhenUsed/>
    <w:qFormat/>
    <w:uiPriority w:val="39"/>
    <w:pPr>
      <w:ind w:left="1260" w:leftChars="600"/>
    </w:pPr>
    <w:rPr>
      <w:rFonts w:ascii="Calibri" w:hAnsi="Calibri" w:eastAsia="宋体" w:cs="Times New Roman"/>
      <w:sz w:val="21"/>
      <w:szCs w:val="22"/>
    </w:rPr>
  </w:style>
  <w:style w:type="paragraph" w:styleId="26">
    <w:name w:val="toc 6"/>
    <w:basedOn w:val="1"/>
    <w:next w:val="1"/>
    <w:unhideWhenUsed/>
    <w:uiPriority w:val="39"/>
    <w:pPr>
      <w:ind w:left="2100" w:leftChars="1000"/>
    </w:pPr>
    <w:rPr>
      <w:rFonts w:ascii="Calibri" w:hAnsi="Calibri" w:eastAsia="宋体" w:cs="Times New Roman"/>
      <w:sz w:val="21"/>
      <w:szCs w:val="22"/>
    </w:rPr>
  </w:style>
  <w:style w:type="paragraph" w:styleId="27">
    <w:name w:val="toc 2"/>
    <w:basedOn w:val="1"/>
    <w:next w:val="1"/>
    <w:qFormat/>
    <w:uiPriority w:val="39"/>
    <w:pPr>
      <w:ind w:left="420" w:leftChars="200"/>
    </w:pPr>
  </w:style>
  <w:style w:type="paragraph" w:styleId="28">
    <w:name w:val="toc 9"/>
    <w:basedOn w:val="1"/>
    <w:next w:val="1"/>
    <w:unhideWhenUsed/>
    <w:qFormat/>
    <w:uiPriority w:val="39"/>
    <w:pPr>
      <w:ind w:left="3360" w:leftChars="1600"/>
    </w:pPr>
    <w:rPr>
      <w:rFonts w:ascii="Calibri" w:hAnsi="Calibri" w:eastAsia="宋体" w:cs="Times New Roman"/>
      <w:sz w:val="21"/>
      <w:szCs w:val="22"/>
    </w:rPr>
  </w:style>
  <w:style w:type="paragraph" w:styleId="29">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30">
    <w:name w:val="annotation subject"/>
    <w:basedOn w:val="11"/>
    <w:next w:val="11"/>
    <w:link w:val="66"/>
    <w:qFormat/>
    <w:uiPriority w:val="99"/>
    <w:rPr>
      <w:b/>
      <w:bCs/>
    </w:rPr>
  </w:style>
  <w:style w:type="paragraph" w:styleId="31">
    <w:name w:val="Body Text First Indent"/>
    <w:basedOn w:val="13"/>
    <w:link w:val="77"/>
    <w:unhideWhenUsed/>
    <w:qFormat/>
    <w:uiPriority w:val="99"/>
    <w:pPr>
      <w:ind w:firstLine="420" w:firstLineChars="100"/>
    </w:pPr>
    <w:rPr>
      <w:rFonts w:ascii="Calibri" w:hAnsi="Calibri" w:eastAsia="宋体"/>
      <w:kern w:val="0"/>
      <w:sz w:val="20"/>
    </w:rPr>
  </w:style>
  <w:style w:type="table" w:styleId="33">
    <w:name w:val="Table Grid"/>
    <w:basedOn w:val="32"/>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qFormat/>
    <w:uiPriority w:val="0"/>
  </w:style>
  <w:style w:type="character" w:styleId="36">
    <w:name w:val="FollowedHyperlink"/>
    <w:unhideWhenUsed/>
    <w:qFormat/>
    <w:uiPriority w:val="99"/>
    <w:rPr>
      <w:color w:val="954F72"/>
      <w:u w:val="single"/>
    </w:rPr>
  </w:style>
  <w:style w:type="character" w:styleId="37">
    <w:name w:val="Emphasis"/>
    <w:qFormat/>
    <w:uiPriority w:val="20"/>
    <w:rPr>
      <w:i/>
      <w:iCs/>
    </w:rPr>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paragraph" w:customStyle="1" w:styleId="40">
    <w:name w:val="正文首缩两字"/>
    <w:basedOn w:val="1"/>
    <w:qFormat/>
    <w:uiPriority w:val="0"/>
    <w:pPr>
      <w:spacing w:line="360" w:lineRule="auto"/>
      <w:ind w:left="210" w:right="210" w:firstLine="480" w:firstLineChars="200"/>
      <w:jc w:val="left"/>
    </w:pPr>
    <w:rPr>
      <w:rFonts w:ascii="宋体" w:hAnsi="宋体" w:eastAsia="宋体"/>
      <w:kern w:val="2"/>
      <w:sz w:val="24"/>
      <w:szCs w:val="24"/>
      <w:lang w:val="en-US" w:eastAsia="zh-CN" w:bidi="ar-SA"/>
    </w:rPr>
  </w:style>
  <w:style w:type="paragraph" w:customStyle="1" w:styleId="41">
    <w:name w:val="List Paragraph1"/>
    <w:basedOn w:val="1"/>
    <w:qFormat/>
    <w:uiPriority w:val="0"/>
    <w:pPr>
      <w:ind w:firstLine="420" w:firstLineChars="200"/>
    </w:pPr>
  </w:style>
  <w:style w:type="paragraph" w:customStyle="1" w:styleId="42">
    <w:name w:val="样式 正文文本缩进 + 左  0 字符"/>
    <w:basedOn w:val="14"/>
    <w:link w:val="94"/>
    <w:qFormat/>
    <w:uiPriority w:val="0"/>
    <w:pPr>
      <w:ind w:firstLine="250" w:firstLineChars="250"/>
    </w:pPr>
    <w:rPr>
      <w:rFonts w:ascii="Calibri" w:eastAsia="宋体"/>
      <w:color w:val="auto"/>
      <w:kern w:val="0"/>
      <w:sz w:val="24"/>
      <w:szCs w:val="20"/>
    </w:rPr>
  </w:style>
  <w:style w:type="paragraph" w:customStyle="1" w:styleId="43">
    <w:name w:val="Table Text"/>
    <w:link w:val="80"/>
    <w:qFormat/>
    <w:uiPriority w:val="0"/>
    <w:pPr>
      <w:snapToGrid w:val="0"/>
      <w:spacing w:before="80" w:after="80"/>
    </w:pPr>
    <w:rPr>
      <w:rFonts w:ascii="Arial" w:hAnsi="Arial" w:eastAsia="宋体" w:cs="Arial"/>
      <w:kern w:val="2"/>
      <w:sz w:val="18"/>
      <w:szCs w:val="18"/>
      <w:lang w:val="en-US" w:eastAsia="zh-CN" w:bidi="ar-SA"/>
    </w:rPr>
  </w:style>
  <w:style w:type="paragraph" w:customStyle="1" w:styleId="44">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5">
    <w:name w:val="列出段落1"/>
    <w:basedOn w:val="1"/>
    <w:qFormat/>
    <w:uiPriority w:val="0"/>
    <w:pPr>
      <w:ind w:firstLine="420" w:firstLineChars="200"/>
    </w:pPr>
  </w:style>
  <w:style w:type="paragraph" w:customStyle="1" w:styleId="46">
    <w:name w:val="样式1"/>
    <w:basedOn w:val="1"/>
    <w:qFormat/>
    <w:uiPriority w:val="0"/>
    <w:pPr>
      <w:numPr>
        <w:ilvl w:val="0"/>
        <w:numId w:val="2"/>
      </w:numPr>
      <w:adjustRightInd w:val="0"/>
      <w:textAlignment w:val="baseline"/>
    </w:pPr>
    <w:rPr>
      <w:rFonts w:ascii="宋体" w:hAnsi="宋体"/>
      <w:kern w:val="0"/>
      <w:szCs w:val="21"/>
    </w:rPr>
  </w:style>
  <w:style w:type="paragraph" w:customStyle="1" w:styleId="47">
    <w:name w:val="自定义正文"/>
    <w:basedOn w:val="1"/>
    <w:qFormat/>
    <w:uiPriority w:val="0"/>
    <w:pPr>
      <w:spacing w:line="480" w:lineRule="exact"/>
      <w:ind w:firstLine="200" w:firstLineChars="200"/>
      <w:jc w:val="left"/>
    </w:pPr>
    <w:rPr>
      <w:rFonts w:ascii="仿宋_GB2312"/>
      <w:sz w:val="28"/>
      <w:szCs w:val="24"/>
    </w:rPr>
  </w:style>
  <w:style w:type="paragraph" w:customStyle="1" w:styleId="48">
    <w:name w:val="表格居中"/>
    <w:basedOn w:val="1"/>
    <w:qFormat/>
    <w:uiPriority w:val="0"/>
    <w:pPr>
      <w:spacing w:line="360" w:lineRule="auto"/>
      <w:jc w:val="center"/>
    </w:pPr>
    <w:rPr>
      <w:rFonts w:ascii="Times New Roman" w:hAnsi="Times New Roman"/>
      <w:sz w:val="24"/>
      <w:szCs w:val="20"/>
    </w:rPr>
  </w:style>
  <w:style w:type="paragraph" w:customStyle="1" w:styleId="49">
    <w:name w:val="样式 正文缩进 + 首行缩进:  2 字符"/>
    <w:basedOn w:val="9"/>
    <w:link w:val="75"/>
    <w:qFormat/>
    <w:uiPriority w:val="0"/>
    <w:pPr>
      <w:adjustRightInd/>
      <w:spacing w:line="360" w:lineRule="auto"/>
      <w:ind w:firstLine="200" w:firstLineChars="200"/>
      <w:textAlignment w:val="auto"/>
    </w:pPr>
    <w:rPr>
      <w:rFonts w:eastAsia="宋体"/>
      <w:kern w:val="0"/>
    </w:rPr>
  </w:style>
  <w:style w:type="paragraph" w:customStyle="1" w:styleId="50">
    <w:name w:val="a_正文"/>
    <w:basedOn w:val="1"/>
    <w:link w:val="92"/>
    <w:qFormat/>
    <w:uiPriority w:val="0"/>
    <w:pPr>
      <w:spacing w:line="360" w:lineRule="auto"/>
      <w:ind w:firstLine="560" w:firstLineChars="200"/>
    </w:pPr>
    <w:rPr>
      <w:rFonts w:ascii="仿宋_GB2312"/>
      <w:kern w:val="0"/>
      <w:sz w:val="28"/>
      <w:szCs w:val="28"/>
    </w:rPr>
  </w:style>
  <w:style w:type="paragraph" w:customStyle="1" w:styleId="51">
    <w:name w:val="Item List in Table"/>
    <w:link w:val="64"/>
    <w:qFormat/>
    <w:uiPriority w:val="0"/>
    <w:pPr>
      <w:numPr>
        <w:ilvl w:val="0"/>
        <w:numId w:val="1"/>
      </w:numPr>
      <w:tabs>
        <w:tab w:val="left" w:pos="284"/>
      </w:tabs>
      <w:spacing w:before="40" w:after="40"/>
      <w:jc w:val="both"/>
    </w:pPr>
    <w:rPr>
      <w:rFonts w:ascii="Arial" w:hAnsi="Arial" w:eastAsia="宋体" w:cs="Times New Roman"/>
      <w:sz w:val="18"/>
      <w:szCs w:val="18"/>
      <w:lang w:val="en-US" w:eastAsia="zh-CN" w:bidi="ar-SA"/>
    </w:rPr>
  </w:style>
  <w:style w:type="paragraph" w:styleId="52">
    <w:name w:val="List Paragraph"/>
    <w:basedOn w:val="1"/>
    <w:link w:val="78"/>
    <w:qFormat/>
    <w:uiPriority w:val="34"/>
    <w:pPr>
      <w:ind w:firstLine="420" w:firstLineChars="200"/>
    </w:pPr>
  </w:style>
  <w:style w:type="paragraph" w:customStyle="1" w:styleId="5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样式 首行缩进:  2.25 字符"/>
    <w:basedOn w:val="1"/>
    <w:qFormat/>
    <w:uiPriority w:val="0"/>
    <w:pPr>
      <w:spacing w:line="360" w:lineRule="auto"/>
      <w:ind w:firstLine="225" w:firstLineChars="225"/>
    </w:pPr>
    <w:rPr>
      <w:rFonts w:eastAsia="宋体" w:cs="宋体"/>
    </w:rPr>
  </w:style>
  <w:style w:type="paragraph" w:customStyle="1" w:styleId="55">
    <w:name w:val="Table Paragraph"/>
    <w:basedOn w:val="1"/>
    <w:qFormat/>
    <w:uiPriority w:val="1"/>
    <w:pPr>
      <w:autoSpaceDE w:val="0"/>
      <w:autoSpaceDN w:val="0"/>
      <w:adjustRightInd w:val="0"/>
      <w:jc w:val="left"/>
    </w:pPr>
    <w:rPr>
      <w:rFonts w:eastAsia="宋体"/>
      <w:kern w:val="0"/>
      <w:szCs w:val="24"/>
    </w:rPr>
  </w:style>
  <w:style w:type="paragraph" w:customStyle="1" w:styleId="5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 w:type="paragraph" w:customStyle="1" w:styleId="58">
    <w:name w:val=" Char1"/>
    <w:basedOn w:val="1"/>
    <w:qFormat/>
    <w:uiPriority w:val="0"/>
    <w:rPr>
      <w:rFonts w:ascii="仿宋_GB2312"/>
      <w:b/>
      <w:sz w:val="32"/>
      <w:szCs w:val="32"/>
    </w:rPr>
  </w:style>
  <w:style w:type="paragraph" w:customStyle="1" w:styleId="59">
    <w:name w:val="_Style 50"/>
    <w:basedOn w:val="1"/>
    <w:next w:val="52"/>
    <w:qFormat/>
    <w:uiPriority w:val="34"/>
    <w:pPr>
      <w:widowControl/>
      <w:ind w:left="720"/>
      <w:contextualSpacing/>
      <w:jc w:val="left"/>
    </w:pPr>
    <w:rPr>
      <w:rFonts w:ascii="Calibri" w:hAnsi="Calibri" w:eastAsia="宋体"/>
      <w:kern w:val="0"/>
      <w:szCs w:val="24"/>
      <w:lang w:eastAsia="en-US" w:bidi="en-US"/>
    </w:rPr>
  </w:style>
  <w:style w:type="paragraph" w:customStyle="1" w:styleId="60">
    <w:name w:val="样式"/>
    <w:basedOn w:val="1"/>
    <w:qFormat/>
    <w:uiPriority w:val="0"/>
    <w:pPr>
      <w:autoSpaceDE w:val="0"/>
      <w:autoSpaceDN w:val="0"/>
      <w:snapToGrid w:val="0"/>
      <w:spacing w:before="120" w:after="120" w:line="360" w:lineRule="auto"/>
    </w:pPr>
    <w:rPr>
      <w:rFonts w:ascii="宋体" w:eastAsia="宋体"/>
    </w:rPr>
  </w:style>
  <w:style w:type="character" w:customStyle="1" w:styleId="61">
    <w:name w:val="正文文本缩进 2 Char1"/>
    <w:qFormat/>
    <w:uiPriority w:val="99"/>
    <w:rPr>
      <w:kern w:val="2"/>
      <w:sz w:val="21"/>
      <w:szCs w:val="24"/>
    </w:rPr>
  </w:style>
  <w:style w:type="character" w:customStyle="1" w:styleId="62">
    <w:name w:val="批注文字 Char1"/>
    <w:qFormat/>
    <w:uiPriority w:val="99"/>
    <w:rPr>
      <w:kern w:val="2"/>
      <w:sz w:val="21"/>
      <w:szCs w:val="24"/>
    </w:rPr>
  </w:style>
  <w:style w:type="character" w:customStyle="1" w:styleId="63">
    <w:name w:val="文档结构图 字符"/>
    <w:link w:val="10"/>
    <w:qFormat/>
    <w:uiPriority w:val="0"/>
    <w:rPr>
      <w:rFonts w:eastAsia="仿宋_GB2312"/>
      <w:kern w:val="2"/>
      <w:sz w:val="24"/>
      <w:shd w:val="clear" w:color="auto" w:fill="000080"/>
    </w:rPr>
  </w:style>
  <w:style w:type="character" w:customStyle="1" w:styleId="64">
    <w:name w:val="Item List in Table Char Char"/>
    <w:link w:val="51"/>
    <w:qFormat/>
    <w:uiPriority w:val="0"/>
    <w:rPr>
      <w:rFonts w:ascii="Arial" w:hAnsi="Arial"/>
      <w:sz w:val="18"/>
      <w:szCs w:val="18"/>
      <w:lang w:val="en-US" w:eastAsia="zh-CN" w:bidi="ar-SA"/>
    </w:rPr>
  </w:style>
  <w:style w:type="character" w:customStyle="1" w:styleId="65">
    <w:name w:val="apple-style-span"/>
    <w:uiPriority w:val="0"/>
    <w:rPr>
      <w:rFonts w:cs="Times New Roman"/>
    </w:rPr>
  </w:style>
  <w:style w:type="character" w:customStyle="1" w:styleId="66">
    <w:name w:val="批注主题 字符"/>
    <w:link w:val="30"/>
    <w:uiPriority w:val="99"/>
    <w:rPr>
      <w:rFonts w:eastAsia="仿宋_GB2312"/>
      <w:b/>
      <w:bCs/>
      <w:kern w:val="2"/>
      <w:sz w:val="24"/>
    </w:rPr>
  </w:style>
  <w:style w:type="character" w:customStyle="1" w:styleId="67">
    <w:name w:val="批注文字 字符"/>
    <w:link w:val="11"/>
    <w:qFormat/>
    <w:uiPriority w:val="99"/>
    <w:rPr>
      <w:rFonts w:eastAsia="仿宋_GB2312"/>
      <w:kern w:val="2"/>
      <w:sz w:val="24"/>
    </w:rPr>
  </w:style>
  <w:style w:type="character" w:customStyle="1" w:styleId="68">
    <w:name w:val="正文首行缩进 Char1"/>
    <w:basedOn w:val="69"/>
    <w:uiPriority w:val="99"/>
  </w:style>
  <w:style w:type="character" w:customStyle="1" w:styleId="69">
    <w:name w:val="正文文本 Char"/>
    <w:uiPriority w:val="99"/>
    <w:rPr>
      <w:rFonts w:ascii="Calibri" w:hAnsi="Calibri"/>
    </w:rPr>
  </w:style>
  <w:style w:type="character" w:customStyle="1" w:styleId="70">
    <w:name w:val="页脚 字符"/>
    <w:uiPriority w:val="99"/>
  </w:style>
  <w:style w:type="character" w:customStyle="1" w:styleId="71">
    <w:name w:val="正文文本缩进 字符"/>
    <w:link w:val="14"/>
    <w:uiPriority w:val="0"/>
    <w:rPr>
      <w:rFonts w:ascii="仿宋_GB2312" w:eastAsia="仿宋_GB2312"/>
      <w:color w:val="FF0000"/>
      <w:kern w:val="2"/>
      <w:sz w:val="28"/>
      <w:szCs w:val="28"/>
    </w:rPr>
  </w:style>
  <w:style w:type="character" w:customStyle="1" w:styleId="72">
    <w:name w:val="正文文本缩进 2 字符"/>
    <w:link w:val="20"/>
    <w:uiPriority w:val="0"/>
    <w:rPr>
      <w:kern w:val="2"/>
      <w:sz w:val="21"/>
      <w:szCs w:val="24"/>
    </w:rPr>
  </w:style>
  <w:style w:type="character" w:customStyle="1" w:styleId="73">
    <w:name w:val="正文首行缩进 Char2"/>
    <w:basedOn w:val="74"/>
    <w:link w:val="31"/>
    <w:uiPriority w:val="0"/>
  </w:style>
  <w:style w:type="character" w:customStyle="1" w:styleId="74">
    <w:name w:val="正文文本 字符"/>
    <w:link w:val="13"/>
    <w:uiPriority w:val="99"/>
    <w:rPr>
      <w:rFonts w:eastAsia="仿宋_GB2312"/>
      <w:kern w:val="2"/>
      <w:sz w:val="24"/>
    </w:rPr>
  </w:style>
  <w:style w:type="character" w:customStyle="1" w:styleId="75">
    <w:name w:val="样式 正文缩进 + 首行缩进:  2 字符 Char"/>
    <w:link w:val="49"/>
    <w:uiPriority w:val="0"/>
    <w:rPr>
      <w:sz w:val="24"/>
    </w:rPr>
  </w:style>
  <w:style w:type="character" w:customStyle="1" w:styleId="76">
    <w:name w:val="批注框文本 Char1"/>
    <w:uiPriority w:val="99"/>
    <w:rPr>
      <w:kern w:val="2"/>
      <w:sz w:val="18"/>
      <w:szCs w:val="18"/>
    </w:rPr>
  </w:style>
  <w:style w:type="character" w:customStyle="1" w:styleId="77">
    <w:name w:val="正文文本首行缩进 字符"/>
    <w:basedOn w:val="69"/>
    <w:link w:val="31"/>
    <w:uiPriority w:val="99"/>
  </w:style>
  <w:style w:type="character" w:customStyle="1" w:styleId="78">
    <w:name w:val="列表段落 字符"/>
    <w:link w:val="52"/>
    <w:locked/>
    <w:uiPriority w:val="34"/>
    <w:rPr>
      <w:rFonts w:eastAsia="仿宋_GB2312"/>
      <w:kern w:val="2"/>
      <w:sz w:val="24"/>
    </w:rPr>
  </w:style>
  <w:style w:type="character" w:customStyle="1" w:styleId="79">
    <w:name w:val="纯文本 字符"/>
    <w:link w:val="17"/>
    <w:uiPriority w:val="0"/>
    <w:rPr>
      <w:rFonts w:ascii="宋体" w:hAnsi="Courier New" w:eastAsia="仿宋_GB2312"/>
      <w:kern w:val="2"/>
      <w:sz w:val="24"/>
    </w:rPr>
  </w:style>
  <w:style w:type="character" w:customStyle="1" w:styleId="80">
    <w:name w:val="Table Text Char1"/>
    <w:link w:val="43"/>
    <w:locked/>
    <w:uiPriority w:val="0"/>
    <w:rPr>
      <w:rFonts w:ascii="Arial" w:hAnsi="Arial" w:cs="Arial"/>
      <w:kern w:val="2"/>
      <w:sz w:val="18"/>
      <w:szCs w:val="18"/>
      <w:lang w:val="en-US" w:eastAsia="zh-CN" w:bidi="ar-SA"/>
    </w:rPr>
  </w:style>
  <w:style w:type="character" w:customStyle="1" w:styleId="81">
    <w:name w:val="页眉 字符"/>
    <w:link w:val="23"/>
    <w:uiPriority w:val="99"/>
    <w:rPr>
      <w:rFonts w:eastAsia="仿宋_GB2312"/>
      <w:kern w:val="2"/>
      <w:sz w:val="18"/>
      <w:szCs w:val="18"/>
    </w:rPr>
  </w:style>
  <w:style w:type="character" w:customStyle="1" w:styleId="82">
    <w:name w:val="font01"/>
    <w:uiPriority w:val="0"/>
    <w:rPr>
      <w:rFonts w:hint="default" w:ascii="微软雅黑" w:hAnsi="微软雅黑" w:eastAsia="微软雅黑" w:cs="微软雅黑"/>
      <w:b/>
      <w:color w:val="FF0000"/>
      <w:sz w:val="22"/>
      <w:szCs w:val="22"/>
      <w:u w:val="none"/>
    </w:rPr>
  </w:style>
  <w:style w:type="character" w:customStyle="1" w:styleId="83">
    <w:name w:val="font41"/>
    <w:uiPriority w:val="0"/>
    <w:rPr>
      <w:rFonts w:hint="default" w:ascii="微软雅黑" w:hAnsi="微软雅黑" w:eastAsia="微软雅黑" w:cs="微软雅黑"/>
      <w:b/>
      <w:color w:val="FF0000"/>
      <w:sz w:val="21"/>
      <w:szCs w:val="21"/>
      <w:u w:val="none"/>
    </w:rPr>
  </w:style>
  <w:style w:type="character" w:customStyle="1" w:styleId="84">
    <w:name w:val="font21"/>
    <w:uiPriority w:val="0"/>
    <w:rPr>
      <w:rFonts w:hint="default" w:ascii="微软雅黑" w:hAnsi="微软雅黑" w:eastAsia="微软雅黑" w:cs="微软雅黑"/>
      <w:b/>
      <w:color w:val="000000"/>
      <w:sz w:val="21"/>
      <w:szCs w:val="21"/>
      <w:u w:val="none"/>
    </w:rPr>
  </w:style>
  <w:style w:type="character" w:customStyle="1" w:styleId="85">
    <w:name w:val="标题 2 字符"/>
    <w:link w:val="4"/>
    <w:uiPriority w:val="9"/>
    <w:rPr>
      <w:rFonts w:ascii="Arial" w:hAnsi="Arial"/>
      <w:b/>
      <w:kern w:val="2"/>
      <w:sz w:val="24"/>
    </w:rPr>
  </w:style>
  <w:style w:type="character" w:customStyle="1" w:styleId="86">
    <w:name w:val="批注框文本 字符"/>
    <w:link w:val="21"/>
    <w:uiPriority w:val="99"/>
    <w:rPr>
      <w:rFonts w:eastAsia="仿宋_GB2312"/>
      <w:kern w:val="2"/>
      <w:sz w:val="18"/>
      <w:szCs w:val="18"/>
    </w:rPr>
  </w:style>
  <w:style w:type="character" w:customStyle="1" w:styleId="87">
    <w:name w:val="批注主题 Char1"/>
    <w:uiPriority w:val="99"/>
    <w:rPr>
      <w:b/>
      <w:bCs/>
      <w:kern w:val="2"/>
      <w:sz w:val="21"/>
      <w:szCs w:val="24"/>
    </w:rPr>
  </w:style>
  <w:style w:type="character" w:customStyle="1" w:styleId="88">
    <w:name w:val="标题 3 字符"/>
    <w:link w:val="5"/>
    <w:uiPriority w:val="0"/>
    <w:rPr>
      <w:rFonts w:eastAsia="仿宋_GB2312"/>
      <w:b/>
      <w:kern w:val="2"/>
      <w:sz w:val="24"/>
    </w:rPr>
  </w:style>
  <w:style w:type="character" w:customStyle="1" w:styleId="89">
    <w:name w:val="标题 1 字符"/>
    <w:link w:val="3"/>
    <w:uiPriority w:val="0"/>
    <w:rPr>
      <w:b/>
      <w:bCs/>
      <w:kern w:val="44"/>
      <w:sz w:val="24"/>
      <w:szCs w:val="44"/>
    </w:rPr>
  </w:style>
  <w:style w:type="character" w:customStyle="1" w:styleId="90">
    <w:name w:val="f31"/>
    <w:uiPriority w:val="0"/>
    <w:rPr>
      <w:rFonts w:hint="eastAsia" w:ascii="宋体" w:hAnsi="宋体" w:eastAsia="宋体"/>
      <w:color w:val="000000"/>
      <w:sz w:val="20"/>
      <w:szCs w:val="20"/>
    </w:rPr>
  </w:style>
  <w:style w:type="character" w:customStyle="1" w:styleId="91">
    <w:name w:val="正文缩进 字符"/>
    <w:link w:val="9"/>
    <w:locked/>
    <w:uiPriority w:val="0"/>
    <w:rPr>
      <w:rFonts w:eastAsia="仿宋_GB2312"/>
      <w:kern w:val="2"/>
      <w:sz w:val="24"/>
    </w:rPr>
  </w:style>
  <w:style w:type="character" w:customStyle="1" w:styleId="92">
    <w:name w:val="a_正文 Char"/>
    <w:link w:val="50"/>
    <w:uiPriority w:val="0"/>
    <w:rPr>
      <w:rFonts w:ascii="仿宋_GB2312" w:eastAsia="仿宋_GB2312"/>
      <w:sz w:val="28"/>
      <w:szCs w:val="28"/>
    </w:rPr>
  </w:style>
  <w:style w:type="character" w:customStyle="1" w:styleId="93">
    <w:name w:val="页脚 字符1"/>
    <w:link w:val="22"/>
    <w:uiPriority w:val="99"/>
    <w:rPr>
      <w:rFonts w:eastAsia="仿宋_GB2312"/>
      <w:kern w:val="2"/>
      <w:sz w:val="18"/>
      <w:szCs w:val="18"/>
    </w:rPr>
  </w:style>
  <w:style w:type="character" w:customStyle="1" w:styleId="94">
    <w:name w:val="样式 正文文本缩进 + 左  0 字符 Char"/>
    <w:link w:val="42"/>
    <w:uiPriority w:val="0"/>
    <w:rPr>
      <w:rFonts w:cs="宋体"/>
      <w:sz w:val="24"/>
    </w:rPr>
  </w:style>
  <w:style w:type="character" w:customStyle="1" w:styleId="95">
    <w:name w:val="font31"/>
    <w:uiPriority w:val="0"/>
    <w:rPr>
      <w:rFonts w:hint="default" w:ascii="微软雅黑" w:hAnsi="微软雅黑" w:eastAsia="微软雅黑" w:cs="微软雅黑"/>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1316</Words>
  <Characters>7505</Characters>
  <Lines>62</Lines>
  <Paragraphs>17</Paragraphs>
  <TotalTime>4</TotalTime>
  <ScaleCrop>false</ScaleCrop>
  <LinksUpToDate>false</LinksUpToDate>
  <CharactersWithSpaces>8804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2020-11-23T02:51:00Z</dcterms:created>
  <dc:creator>qw</dc:creator>
  <cp:lastModifiedBy>小暖</cp:lastModifiedBy>
  <cp:lastPrinted>2021-01-20T07:45:17Z</cp:lastPrinted>
  <dcterms:modified xsi:type="dcterms:W3CDTF">2021-01-20T07:45:22Z</dcterms:modified>
  <dc:title>新华日报报业集团河西新闻中心（暂定名）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